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01" w:rsidRDefault="008836A3" w:rsidP="00CE0B32">
      <w:pPr>
        <w:pStyle w:val="QRCHeading1"/>
      </w:pPr>
      <w:r w:rsidRPr="008836A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.1pt;margin-top:-79.05pt;width:446.75pt;height:29.35pt;z-index:251658752;mso-width-relative:margin;mso-height-relative:margin" filled="f" stroked="f">
            <v:textbox style="mso-next-textbox:#_x0000_s1028">
              <w:txbxContent>
                <w:p w:rsidR="009F119B" w:rsidRPr="00312DFC" w:rsidRDefault="009F119B" w:rsidP="00312DFC">
                  <w:pPr>
                    <w:pStyle w:val="QRCTopHeading"/>
                  </w:pPr>
                  <w:r>
                    <w:t xml:space="preserve">Science Rehabilitation </w:t>
                  </w:r>
                  <w:r w:rsidRPr="003C2EE0">
                    <w:rPr>
                      <w:color w:val="D4420C"/>
                    </w:rPr>
                    <w:t>Unit</w:t>
                  </w:r>
                  <w:r>
                    <w:t xml:space="preserve"> A</w:t>
                  </w:r>
                  <w:r w:rsidR="00DC3D74">
                    <w:t>ssessment</w:t>
                  </w:r>
                </w:p>
              </w:txbxContent>
            </v:textbox>
            <w10:anchorlock/>
          </v:shape>
        </w:pict>
      </w:r>
      <w:r w:rsidR="00DC3D74">
        <w:t>Non-Experimental Investigation: Report</w:t>
      </w:r>
    </w:p>
    <w:p w:rsidR="003C2EE0" w:rsidRDefault="003C2EE0" w:rsidP="000D589E">
      <w:pPr>
        <w:pStyle w:val="QRCNormalBody"/>
        <w:rPr>
          <w:color w:val="51C8E8"/>
          <w:spacing w:val="-20"/>
          <w:sz w:val="28"/>
        </w:rPr>
        <w:sectPr w:rsidR="003C2EE0" w:rsidSect="00CE0B32">
          <w:footerReference w:type="default" r:id="rId8"/>
          <w:pgSz w:w="11906" w:h="16838"/>
          <w:pgMar w:top="1701" w:right="566" w:bottom="1440" w:left="567" w:header="708" w:footer="708" w:gutter="0"/>
          <w:cols w:space="708"/>
          <w:docGrid w:linePitch="360"/>
        </w:sectPr>
      </w:pPr>
    </w:p>
    <w:p w:rsidR="00DC3D74" w:rsidRPr="001F4C46" w:rsidRDefault="00DC3D74" w:rsidP="00DC3D74">
      <w:pPr>
        <w:pStyle w:val="QRCHeading3"/>
      </w:pPr>
      <w:r w:rsidRPr="001F4C46">
        <w:lastRenderedPageBreak/>
        <w:t>Background</w:t>
      </w:r>
    </w:p>
    <w:p w:rsidR="00DC3D74" w:rsidRPr="00282F98" w:rsidRDefault="00DC3D74" w:rsidP="00DC3D74">
      <w:pPr>
        <w:pStyle w:val="QRCNormalBody"/>
      </w:pPr>
      <w:r>
        <w:t xml:space="preserve">Rehabilitation is the process of returning a mining site to its original land use. In this assessment, you will assume the role of </w:t>
      </w:r>
      <w:r w:rsidRPr="001F4C46">
        <w:rPr>
          <w:rFonts w:eastAsia="Tahoma"/>
        </w:rPr>
        <w:t xml:space="preserve">an environmental scientist employed at the </w:t>
      </w:r>
      <w:proofErr w:type="spellStart"/>
      <w:r w:rsidRPr="001F4C46">
        <w:t>Ensham</w:t>
      </w:r>
      <w:proofErr w:type="spellEnd"/>
      <w:r w:rsidRPr="001F4C46">
        <w:t xml:space="preserve"> mine near Emerald in Central Queensland</w:t>
      </w:r>
      <w:r>
        <w:t xml:space="preserve"> and</w:t>
      </w:r>
      <w:r w:rsidRPr="001F4C46">
        <w:t xml:space="preserve"> present a fully costed proposal for the rehabilitation of a section of </w:t>
      </w:r>
      <w:r>
        <w:t>the site.</w:t>
      </w:r>
    </w:p>
    <w:p w:rsidR="00DC3D74" w:rsidRPr="001F4C46" w:rsidRDefault="00DC3D74" w:rsidP="00DC3D74">
      <w:pPr>
        <w:pStyle w:val="QRCHeading3"/>
      </w:pPr>
      <w:r w:rsidRPr="001F4C46">
        <w:t>Requirements</w:t>
      </w:r>
    </w:p>
    <w:p w:rsidR="00DC3D74" w:rsidRPr="001F4C46" w:rsidRDefault="00DC3D74" w:rsidP="00DC3D74">
      <w:pPr>
        <w:pStyle w:val="QRCNormalBody"/>
      </w:pPr>
      <w:proofErr w:type="gramStart"/>
      <w:r>
        <w:t>Completed i</w:t>
      </w:r>
      <w:r w:rsidRPr="001F4C46">
        <w:t>ndividually and/or in groups</w:t>
      </w:r>
      <w:r>
        <w:t>.</w:t>
      </w:r>
      <w:proofErr w:type="gramEnd"/>
    </w:p>
    <w:p w:rsidR="00DC3D74" w:rsidRPr="001F4C46" w:rsidRDefault="00DC3D74" w:rsidP="00DC3D74">
      <w:pPr>
        <w:pStyle w:val="QRCNormalBody"/>
      </w:pPr>
      <w:proofErr w:type="gramStart"/>
      <w:r w:rsidRPr="001F4C46">
        <w:t>Prepared in c</w:t>
      </w:r>
      <w:r>
        <w:t>lass time and/or in the student</w:t>
      </w:r>
      <w:r w:rsidRPr="001F4C46">
        <w:t>s</w:t>
      </w:r>
      <w:r>
        <w:t>’</w:t>
      </w:r>
      <w:r w:rsidRPr="001F4C46">
        <w:t xml:space="preserve"> own time</w:t>
      </w:r>
      <w:r>
        <w:t>.</w:t>
      </w:r>
      <w:proofErr w:type="gramEnd"/>
    </w:p>
    <w:p w:rsidR="00DC3D74" w:rsidRPr="001F4C46" w:rsidRDefault="00DC3D74" w:rsidP="00DC3D74">
      <w:pPr>
        <w:pStyle w:val="QRCHeading3"/>
      </w:pPr>
      <w:r w:rsidRPr="001F4C46">
        <w:t>Format</w:t>
      </w:r>
    </w:p>
    <w:p w:rsidR="00DC3D74" w:rsidRPr="001F4C46" w:rsidRDefault="00DC3D74" w:rsidP="00DC3D74">
      <w:pPr>
        <w:pStyle w:val="QRCNormalBody"/>
      </w:pPr>
      <w:proofErr w:type="gramStart"/>
      <w:r>
        <w:t>Presented in written form, using the style and language of a formal report to management.</w:t>
      </w:r>
      <w:proofErr w:type="gramEnd"/>
    </w:p>
    <w:p w:rsidR="00DC3D74" w:rsidRPr="001F4C46" w:rsidRDefault="00DC3D74" w:rsidP="00DC3D74">
      <w:pPr>
        <w:pStyle w:val="QRCHeading3"/>
      </w:pPr>
      <w:r w:rsidRPr="001F4C46">
        <w:t>Length</w:t>
      </w:r>
    </w:p>
    <w:p w:rsidR="00DC3D74" w:rsidRDefault="00DC3D74" w:rsidP="00DC3D74">
      <w:pPr>
        <w:pStyle w:val="QRCNormalBody"/>
      </w:pPr>
      <w:proofErr w:type="gramStart"/>
      <w:r w:rsidRPr="001F4C46">
        <w:t>1000–1500 words</w:t>
      </w:r>
      <w:r w:rsidR="00EB07A7">
        <w:t>.</w:t>
      </w:r>
      <w:proofErr w:type="gramEnd"/>
    </w:p>
    <w:p w:rsidR="00DC3D74" w:rsidRDefault="00DC3D74" w:rsidP="00DC3D74">
      <w:pPr>
        <w:pStyle w:val="QRCHeading3"/>
      </w:pPr>
      <w:r>
        <w:t>Background knowledge</w:t>
      </w:r>
    </w:p>
    <w:p w:rsidR="00DC3D74" w:rsidRPr="0097115A" w:rsidRDefault="00DC3D74" w:rsidP="00DC3D74">
      <w:pPr>
        <w:pStyle w:val="QRCNormalBody"/>
      </w:pPr>
      <w:r w:rsidRPr="0097115A">
        <w:t xml:space="preserve">Prior to commencement of this assignment, students should review the following topics </w:t>
      </w:r>
      <w:r>
        <w:t xml:space="preserve">in </w:t>
      </w:r>
      <w:r w:rsidRPr="0097115A">
        <w:t>mathematics:</w:t>
      </w:r>
    </w:p>
    <w:p w:rsidR="00DC3D74" w:rsidRPr="0097115A" w:rsidRDefault="00DC3D74" w:rsidP="00DC3D74">
      <w:pPr>
        <w:pStyle w:val="QRCBulletItem"/>
      </w:pPr>
      <w:r w:rsidRPr="0097115A">
        <w:t>Volume of triangular prisms, pyramids and cones</w:t>
      </w:r>
    </w:p>
    <w:p w:rsidR="00DC3D74" w:rsidRPr="0097115A" w:rsidRDefault="00DC3D74" w:rsidP="00DC3D74">
      <w:pPr>
        <w:pStyle w:val="QRCBulletItem"/>
      </w:pPr>
      <w:r w:rsidRPr="0097115A">
        <w:t>Area of rectangles</w:t>
      </w:r>
    </w:p>
    <w:p w:rsidR="00DC3D74" w:rsidRPr="0097115A" w:rsidRDefault="00DC3D74" w:rsidP="00DC3D74">
      <w:pPr>
        <w:pStyle w:val="QRCBulletItem"/>
      </w:pPr>
      <w:r w:rsidRPr="0097115A">
        <w:t>Conversion between units of measurement of area</w:t>
      </w:r>
    </w:p>
    <w:p w:rsidR="00DC3D74" w:rsidRPr="0097115A" w:rsidRDefault="00DC3D74" w:rsidP="00DC3D74">
      <w:pPr>
        <w:pStyle w:val="QRCBulletItem"/>
      </w:pPr>
      <w:r w:rsidRPr="0097115A">
        <w:t>Trigonometry</w:t>
      </w:r>
    </w:p>
    <w:p w:rsidR="00DC3D74" w:rsidRPr="0097115A" w:rsidRDefault="00DC3D74" w:rsidP="00DC3D74">
      <w:pPr>
        <w:pStyle w:val="QRCBulletItem"/>
      </w:pPr>
      <w:r w:rsidRPr="0097115A">
        <w:t>Pythagoras’ theorem</w:t>
      </w:r>
    </w:p>
    <w:p w:rsidR="00DC3D74" w:rsidRPr="0097115A" w:rsidRDefault="00DC3D74" w:rsidP="00DC3D74">
      <w:pPr>
        <w:pStyle w:val="QRCBulletItem"/>
      </w:pPr>
      <w:r w:rsidRPr="0097115A">
        <w:t>Solving equations</w:t>
      </w:r>
      <w:r w:rsidR="00EB07A7">
        <w:t>.</w:t>
      </w:r>
      <w:r>
        <w:br/>
      </w:r>
    </w:p>
    <w:p w:rsidR="00DC3D74" w:rsidRDefault="00DC3D74" w:rsidP="00DC3D74">
      <w:pPr>
        <w:pStyle w:val="QRCNormalBody"/>
      </w:pPr>
      <w:r>
        <w:t xml:space="preserve">For background detail on each stage of the rehabilitation process, see the PowerPoint presentation of Rehabilitation of the </w:t>
      </w:r>
      <w:proofErr w:type="spellStart"/>
      <w:r>
        <w:t>Ensham</w:t>
      </w:r>
      <w:proofErr w:type="spellEnd"/>
      <w:r>
        <w:t xml:space="preserve"> mine.</w:t>
      </w:r>
    </w:p>
    <w:p w:rsidR="00DC3D74" w:rsidRDefault="00DC3D74" w:rsidP="00DC3D74">
      <w:pPr>
        <w:pStyle w:val="QRCHeading3"/>
      </w:pPr>
      <w:r>
        <w:t>Means for ensuring originality of student work</w:t>
      </w:r>
    </w:p>
    <w:p w:rsidR="00DC3D74" w:rsidRPr="001F2EAC" w:rsidRDefault="00DC3D74" w:rsidP="00DC3D74">
      <w:pPr>
        <w:pStyle w:val="QRCNormalBody"/>
      </w:pPr>
      <w:r>
        <w:t>To ensure that students’ work is original, issue each student with different dimensions for the original spoil pile. Those given below are 400m x 80m. Use lengths between 200m and 1000m and widths equal to about one-fifth of the length.</w:t>
      </w:r>
    </w:p>
    <w:p w:rsidR="00DC3D74" w:rsidRDefault="00DC3D74" w:rsidP="00DC3D74">
      <w:pPr>
        <w:rPr>
          <w:rFonts w:ascii="Arial" w:eastAsia="Tahoma" w:hAnsi="Arial" w:cs="Arial"/>
          <w:b/>
          <w:sz w:val="24"/>
          <w:szCs w:val="24"/>
        </w:rPr>
      </w:pPr>
      <w:r>
        <w:rPr>
          <w:rFonts w:ascii="Arial" w:eastAsia="Tahoma" w:hAnsi="Arial" w:cs="Arial"/>
          <w:b/>
          <w:sz w:val="24"/>
          <w:szCs w:val="24"/>
        </w:rPr>
        <w:br w:type="page"/>
      </w:r>
    </w:p>
    <w:p w:rsidR="00DC3D74" w:rsidRPr="001F4C46" w:rsidRDefault="00DC3D74" w:rsidP="00DC3D74">
      <w:pPr>
        <w:pStyle w:val="QRCHeading3"/>
      </w:pPr>
      <w:r w:rsidRPr="001F4C46">
        <w:lastRenderedPageBreak/>
        <w:t>Your task</w:t>
      </w:r>
    </w:p>
    <w:p w:rsidR="00DC3D74" w:rsidRDefault="00DC3D74" w:rsidP="00DC3D74">
      <w:pPr>
        <w:pStyle w:val="QRCNormalBody"/>
      </w:pPr>
      <w:r w:rsidRPr="001F4C46">
        <w:rPr>
          <w:rFonts w:eastAsia="Tahoma"/>
        </w:rPr>
        <w:t xml:space="preserve">As an environmental scientist employed at the </w:t>
      </w:r>
      <w:proofErr w:type="spellStart"/>
      <w:r w:rsidRPr="001F4C46">
        <w:t>Ensham</w:t>
      </w:r>
      <w:proofErr w:type="spellEnd"/>
      <w:r w:rsidRPr="001F4C46">
        <w:t xml:space="preserve"> mine near Emerald in Central Queensland, you have been asked by mine management to present a fully costed proposal for the rehabilitation of a section of land originally mined two years prior.</w:t>
      </w:r>
    </w:p>
    <w:p w:rsidR="00DC3D74" w:rsidRPr="001F4C46" w:rsidRDefault="00DC3D74" w:rsidP="00DC3D74">
      <w:pPr>
        <w:pStyle w:val="QRCNormalBody"/>
      </w:pPr>
      <w:r>
        <w:t>Topsoil was stockpiled prior to commencement of mining.</w:t>
      </w:r>
    </w:p>
    <w:p w:rsidR="00DC3D74" w:rsidRPr="001F4C46" w:rsidRDefault="00DC3D74" w:rsidP="00DC3D74">
      <w:pPr>
        <w:pStyle w:val="QRCNormalBody"/>
      </w:pPr>
      <w:r w:rsidRPr="001F4C46">
        <w:t>The spoil pile currently on the site has the following dimensions:</w:t>
      </w:r>
    </w:p>
    <w:p w:rsidR="00DC3D74" w:rsidRPr="001F4C46" w:rsidRDefault="008836A3" w:rsidP="00DC3D74">
      <w:pPr>
        <w:rPr>
          <w:rFonts w:ascii="Arial" w:hAnsi="Arial" w:cs="Arial"/>
          <w:sz w:val="24"/>
          <w:szCs w:val="24"/>
        </w:rPr>
      </w:pPr>
      <w:r w:rsidRPr="008836A3">
        <w:rPr>
          <w:rFonts w:ascii="Arial" w:eastAsia="Tahoma" w:hAnsi="Arial" w:cs="Arial"/>
          <w:noProof/>
          <w:sz w:val="24"/>
          <w:szCs w:val="24"/>
        </w:rPr>
        <w:pict>
          <v:group id="_x0000_s1059" style="position:absolute;margin-left:87.15pt;margin-top:6.8pt;width:344.25pt;height:183pt;z-index:251660800" coordorigin="2145,9820" coordsize="6885,36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0" type="#_x0000_t32" style="position:absolute;left:7485;top:12390;width:1545;height:1020;flip:x" o:connectortype="straight">
              <v:stroke startarrow="block" endarrow="block"/>
            </v:shape>
            <v:group id="_x0000_s1061" style="position:absolute;left:2340;top:9820;width:6492;height:3135" coordorigin="2850,7005" coordsize="6492,3135">
              <v:shapetype id="_x0000_t8" coordsize="21600,21600" o:spt="8" adj="5400" path="m,l@0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3,10800;10800,21600;@2,10800;10800,0" textboxrect="1800,1800,19800,19800;4500,4500,17100,17100;7200,7200,14400,14400"/>
                <v:handles>
                  <v:h position="#0,bottomRight" xrange="0,10800"/>
                </v:handles>
              </v:shapetype>
              <v:shape id="_x0000_s1062" type="#_x0000_t8" style="position:absolute;left:3045;top:7440;width:5250;height:2115;rotation:13260867fd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3" type="#_x0000_t5" style="position:absolute;left:6900;top:7830;width:2025;height:2310;rotation:-2173123fd"/>
              <v:shape id="_x0000_s1064" type="#_x0000_t32" style="position:absolute;left:4842;top:7527;width:4500;height:1860;flip:x y" o:connectortype="straight">
                <v:stroke dashstyle="dash"/>
              </v:shape>
              <v:shape id="_x0000_s1065" type="#_x0000_t32" style="position:absolute;left:4842;top:7005;width:0;height:510" o:connectortype="straight">
                <v:stroke dashstyle="dash"/>
              </v:shape>
              <v:shape id="_x0000_s1066" type="#_x0000_t32" style="position:absolute;left:2850;top:7515;width:1980;height:945;flip:y" o:connectortype="straight">
                <v:stroke dashstyle="dash"/>
              </v:shape>
              <v:shape id="_x0000_s1067" type="#_x0000_t32" style="position:absolute;left:5475;top:9090;width:810;height:450;flip:y" o:connectortype="straight">
                <v:stroke dashstyle="dash"/>
              </v:shape>
              <v:shape id="_x0000_s1068" type="#_x0000_t32" style="position:absolute;left:5475;top:8685;width:435;height:840;flip:y" o:connectortype="straight">
                <v:stroke dashstyle="dash"/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69" type="#_x0000_t19" style="position:absolute;left:5760;top:8970;width:300;height:225"/>
              <v:shape id="_x0000_s1070" type="#_x0000_t202" style="position:absolute;left:5975;top:8774;width:331;height:284;mso-width-relative:margin;mso-height-relative:margin" filled="f" stroked="f">
                <v:textbox inset="0,0,0,0">
                  <w:txbxContent>
                    <w:p w:rsidR="00DC3D74" w:rsidRDefault="00DC3D74" w:rsidP="00DC3D74">
                      <w:r>
                        <w:t>37</w:t>
                      </w:r>
                      <w:r w:rsidRPr="000205E4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  <v:shape id="_x0000_s1071" type="#_x0000_t32" style="position:absolute;left:7755;top:9570;width:825;height:360;flip:x y" o:connectortype="straight">
                <v:stroke dashstyle="dash"/>
              </v:shape>
              <v:shape id="_x0000_s1072" type="#_x0000_t32" style="position:absolute;left:8040;top:9120;width:540;height:795;flip:x y" o:connectortype="straight">
                <v:stroke dashstyle="dash"/>
              </v:shape>
              <v:shape id="_x0000_s1073" type="#_x0000_t202" style="position:absolute;left:7700;top:9194;width:331;height:284;mso-width-relative:margin;mso-height-relative:margin" filled="f" stroked="f">
                <v:textbox inset="0,0,0,0">
                  <w:txbxContent>
                    <w:p w:rsidR="00DC3D74" w:rsidRDefault="00DC3D74" w:rsidP="00DC3D74">
                      <w:r>
                        <w:t>37</w:t>
                      </w:r>
                      <w:r w:rsidRPr="000205E4">
                        <w:rPr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  <v:shape id="_x0000_s1074" type="#_x0000_t19" style="position:absolute;left:7920;top:9315;width:240;height:330;flip:x"/>
            </v:group>
            <v:shape id="_x0000_s1075" type="#_x0000_t32" style="position:absolute;left:2145;top:11455;width:4890;height:2025" o:connectortype="straight">
              <v:stroke startarrow="block" endarrow="block"/>
            </v:shape>
            <v:shape id="_x0000_s1076" type="#_x0000_t202" style="position:absolute;left:3650;top:12564;width:901;height:269;mso-width-relative:margin;mso-height-relative:margin" filled="f" stroked="f">
              <v:textbox inset="0,0,0,0">
                <w:txbxContent>
                  <w:p w:rsidR="00DC3D74" w:rsidRDefault="00DC3D74" w:rsidP="00DC3D74">
                    <w:pPr>
                      <w:jc w:val="right"/>
                    </w:pPr>
                    <w:r>
                      <w:t>400m</w:t>
                    </w:r>
                  </w:p>
                </w:txbxContent>
              </v:textbox>
            </v:shape>
            <v:shape id="_x0000_s1077" type="#_x0000_t202" style="position:absolute;left:7940;top:12924;width:901;height:269;mso-width-relative:margin;mso-height-relative:margin" filled="f" stroked="f">
              <v:textbox inset="0,0,0,0">
                <w:txbxContent>
                  <w:p w:rsidR="00DC3D74" w:rsidRDefault="00DC3D74" w:rsidP="00DC3D74">
                    <w:pPr>
                      <w:jc w:val="right"/>
                    </w:pPr>
                    <w:r>
                      <w:t>80m</w:t>
                    </w:r>
                  </w:p>
                </w:txbxContent>
              </v:textbox>
            </v:shape>
          </v:group>
        </w:pict>
      </w:r>
    </w:p>
    <w:p w:rsidR="00DC3D74" w:rsidRDefault="00DC3D74" w:rsidP="00DC3D74">
      <w:pPr>
        <w:ind w:left="2835" w:hanging="2115"/>
        <w:rPr>
          <w:rFonts w:ascii="Arial" w:eastAsia="Tahoma" w:hAnsi="Arial" w:cs="Arial"/>
          <w:b/>
          <w:sz w:val="24"/>
          <w:szCs w:val="24"/>
        </w:rPr>
      </w:pP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  <w:r w:rsidRPr="001F4C46">
        <w:rPr>
          <w:rFonts w:ascii="Arial" w:eastAsia="Tahoma" w:hAnsi="Arial" w:cs="Arial"/>
          <w:sz w:val="24"/>
          <w:szCs w:val="24"/>
        </w:rPr>
        <w:br/>
      </w:r>
    </w:p>
    <w:p w:rsidR="00DC3D74" w:rsidRDefault="00DC3D74" w:rsidP="00DC3D74">
      <w:pPr>
        <w:rPr>
          <w:rFonts w:ascii="Arial" w:eastAsia="Tahoma" w:hAnsi="Arial" w:cs="Arial"/>
          <w:b/>
          <w:sz w:val="24"/>
          <w:szCs w:val="24"/>
        </w:rPr>
      </w:pPr>
    </w:p>
    <w:p w:rsidR="00DC3D74" w:rsidRDefault="00DC3D74" w:rsidP="00DC3D74">
      <w:pPr>
        <w:rPr>
          <w:rFonts w:ascii="Arial" w:eastAsia="Tahoma" w:hAnsi="Arial" w:cs="Arial"/>
          <w:b/>
          <w:sz w:val="24"/>
          <w:szCs w:val="24"/>
        </w:rPr>
      </w:pPr>
    </w:p>
    <w:p w:rsidR="00DC3D74" w:rsidRDefault="00DC3D74" w:rsidP="00DC3D74">
      <w:pPr>
        <w:pStyle w:val="QRCBulletTitle"/>
      </w:pPr>
      <w:r w:rsidRPr="006C111F">
        <w:t>Extension option</w:t>
      </w:r>
    </w:p>
    <w:p w:rsidR="00DC3D74" w:rsidRPr="001F4C46" w:rsidRDefault="00DC3D74" w:rsidP="00DC3D74">
      <w:pPr>
        <w:pStyle w:val="QRCNormalBody"/>
      </w:pPr>
      <w:r w:rsidRPr="001F4C46">
        <w:t xml:space="preserve">In </w:t>
      </w:r>
      <w:r w:rsidR="008323B5">
        <w:t xml:space="preserve">an authentic mining context, </w:t>
      </w:r>
      <w:r w:rsidRPr="001F4C46">
        <w:t xml:space="preserve">the ends of the spoil pile would be curved in the shape of </w:t>
      </w:r>
      <w:r>
        <w:t xml:space="preserve">half </w:t>
      </w:r>
      <w:r w:rsidRPr="001F4C46">
        <w:t>cone</w:t>
      </w:r>
      <w:r>
        <w:t>s</w:t>
      </w:r>
      <w:r w:rsidRPr="001F4C46">
        <w:t xml:space="preserve">. Use a spoil pile of this shape, with half-cones of diameter </w:t>
      </w:r>
      <w:r>
        <w:t>8</w:t>
      </w:r>
      <w:r w:rsidRPr="001F4C46">
        <w:t>0m.</w:t>
      </w:r>
    </w:p>
    <w:p w:rsidR="00DC3D74" w:rsidRDefault="008836A3" w:rsidP="00DC3D74">
      <w:pPr>
        <w:pStyle w:val="QRCNormalBody"/>
      </w:pPr>
      <w:r w:rsidRPr="008836A3">
        <w:rPr>
          <w:noProof/>
          <w:lang w:eastAsia="en-AU"/>
        </w:rPr>
        <w:pict>
          <v:group id="_x0000_s1078" style="position:absolute;margin-left:133.65pt;margin-top:65.25pt;width:273.75pt;height:135.55pt;z-index:251661824" coordorigin="2490,1789" coordsize="5475,2711">
            <v:group id="_x0000_s1079" style="position:absolute;left:2910;top:1789;width:5055;height:2621" coordorigin="2925,1774" coordsize="5055,2621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80" type="#_x0000_t7" style="position:absolute;left:2925;top:1774;width:4815;height:2325;rotation:2075081fd" adj="6754"/>
              <v:shape id="_x0000_s1081" type="#_x0000_t32" style="position:absolute;left:5505;top:3712;width:2468;height:683;flip:y" o:connectortype="straight"/>
              <v:shape id="_x0000_s1082" type="#_x0000_t32" style="position:absolute;left:7980;top:3210;width:0;height:510" o:connectortype="straight"/>
              <v:shape id="_x0000_s1083" type="#_x0000_t32" style="position:absolute;left:7875;top:3600;width:90;height:23;flip:x" o:connectortype="straight"/>
              <v:shape id="_x0000_s1084" type="#_x0000_t32" style="position:absolute;left:7868;top:3630;width:0;height:98" o:connectortype="straight"/>
            </v:group>
            <v:shape id="_x0000_s1085" type="#_x0000_t32" style="position:absolute;left:2490;top:2805;width:2745;height:1695" o:connectortype="straight">
              <v:stroke startarrow="block" endarrow="block"/>
            </v:shape>
            <v:shape id="_x0000_s1086" type="#_x0000_t202" style="position:absolute;left:2825;top:3659;width:901;height:269;mso-width-relative:margin;mso-height-relative:margin" filled="f" stroked="f">
              <v:textbox inset="0,0,0,0">
                <w:txbxContent>
                  <w:p w:rsidR="00DC3D74" w:rsidRDefault="00DC3D74" w:rsidP="00DC3D74">
                    <w:pPr>
                      <w:jc w:val="right"/>
                    </w:pPr>
                    <w:r>
                      <w:t>400m</w:t>
                    </w:r>
                  </w:p>
                </w:txbxContent>
              </v:textbox>
            </v:shape>
          </v:group>
        </w:pict>
      </w:r>
      <w:r w:rsidR="00DC3D74" w:rsidRPr="001F4C46">
        <w:t>The rehabilitated slope will be of the same volume and length (</w:t>
      </w:r>
      <w:r w:rsidR="00DC3D74">
        <w:t>4</w:t>
      </w:r>
      <w:r w:rsidR="00DC3D74" w:rsidRPr="001F4C46">
        <w:t xml:space="preserve">00m) as the spoil pile. </w:t>
      </w:r>
      <w:r w:rsidR="00DC3D74">
        <w:t>I</w:t>
      </w:r>
      <w:r w:rsidR="00DC3D74" w:rsidRPr="001F4C46">
        <w:t>t should be in the shape of a right-an</w:t>
      </w:r>
      <w:r w:rsidR="00DC3D74">
        <w:t xml:space="preserve">gled triangular prism, as shown below. </w:t>
      </w:r>
      <w:r w:rsidR="00DC3D74" w:rsidRPr="00CA1FC9">
        <w:rPr>
          <w:i/>
        </w:rPr>
        <w:t>The Environmental Authority dictates that it must have a gradient of no more than one in ten.</w:t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  <w:r w:rsidR="00DC3D74" w:rsidRPr="001F4C46">
        <w:br/>
      </w:r>
    </w:p>
    <w:p w:rsidR="00DC3D74" w:rsidRDefault="00DC3D74" w:rsidP="00DC3D74">
      <w:pPr>
        <w:rPr>
          <w:rFonts w:ascii="Arial" w:eastAsia="Tahoma" w:hAnsi="Arial" w:cs="Arial"/>
          <w:sz w:val="24"/>
          <w:szCs w:val="24"/>
        </w:rPr>
      </w:pPr>
      <w:r>
        <w:rPr>
          <w:rFonts w:ascii="Arial" w:eastAsia="Tahoma" w:hAnsi="Arial" w:cs="Arial"/>
          <w:sz w:val="24"/>
          <w:szCs w:val="24"/>
        </w:rPr>
        <w:br w:type="page"/>
      </w:r>
    </w:p>
    <w:p w:rsidR="00DC3D74" w:rsidRPr="001F4C46" w:rsidRDefault="00DC3D74" w:rsidP="00DC3D74">
      <w:pPr>
        <w:pStyle w:val="QRCNormalBody"/>
      </w:pPr>
      <w:r w:rsidRPr="001F4C46">
        <w:lastRenderedPageBreak/>
        <w:t>Your report is to include</w:t>
      </w:r>
      <w:r>
        <w:t xml:space="preserve"> the following components, showing full calculations and justification as appropriate</w:t>
      </w:r>
      <w:r w:rsidRPr="001F4C46">
        <w:t>:</w:t>
      </w:r>
    </w:p>
    <w:p w:rsidR="00DC3D74" w:rsidRPr="001F4C46" w:rsidRDefault="00DC3D74" w:rsidP="00DC3D74">
      <w:pPr>
        <w:pStyle w:val="QRCNormalBody"/>
        <w:numPr>
          <w:ilvl w:val="0"/>
          <w:numId w:val="9"/>
        </w:numPr>
      </w:pPr>
      <w:r w:rsidRPr="001F4C46">
        <w:t>A calculation of the volume of the spoil pile. (Hint: First use trigonometry to determine its height, then break it into a series of simpler solid</w:t>
      </w:r>
      <w:r>
        <w:t>s and find the volume of each).</w:t>
      </w:r>
    </w:p>
    <w:p w:rsidR="00DC3D74" w:rsidRPr="001F4C46" w:rsidRDefault="00DC3D74" w:rsidP="00DC3D74">
      <w:pPr>
        <w:pStyle w:val="QRCNormalBody"/>
        <w:numPr>
          <w:ilvl w:val="0"/>
          <w:numId w:val="9"/>
        </w:numPr>
      </w:pPr>
      <w:r w:rsidRPr="001F4C46">
        <w:t>Calculations of the width and hei</w:t>
      </w:r>
      <w:r>
        <w:t>ght of the rehabilitated slope.</w:t>
      </w:r>
    </w:p>
    <w:p w:rsidR="00DC3D74" w:rsidRPr="001F4C46" w:rsidRDefault="00DC3D74" w:rsidP="00DC3D74">
      <w:pPr>
        <w:pStyle w:val="QRCNormalBody"/>
        <w:numPr>
          <w:ilvl w:val="0"/>
          <w:numId w:val="9"/>
        </w:numPr>
      </w:pPr>
      <w:r w:rsidRPr="001F4C46">
        <w:t xml:space="preserve">Calculation of the area of the top surface of the rehabilitated slope in hectares. (Hint: </w:t>
      </w:r>
      <w:r>
        <w:t>First u</w:t>
      </w:r>
      <w:r w:rsidRPr="001F4C46">
        <w:t>se trigonometry or Pythagoras’ theorem to find the length of t</w:t>
      </w:r>
      <w:r>
        <w:t>he hypotenuse of the triangle).</w:t>
      </w:r>
    </w:p>
    <w:p w:rsidR="00DC3D74" w:rsidRDefault="00DC3D74" w:rsidP="00DC3D74">
      <w:pPr>
        <w:pStyle w:val="QRCNormalBody"/>
        <w:numPr>
          <w:ilvl w:val="0"/>
          <w:numId w:val="9"/>
        </w:numPr>
      </w:pPr>
      <w:r>
        <w:t>A proposal for each of the following elements of rehabilitation, including a persuasive explanation to justify the need for each: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Bulk earthworks to spread the spoil and establish the slope.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Spreading of topsoil.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Drainage works (drains, bunds, banks and runoff diversions).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Spreading of manure.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Spreading of fertiliser.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Deep ripping along the contour.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Spreading of seed.</w:t>
      </w:r>
    </w:p>
    <w:p w:rsidR="00DC3D74" w:rsidRDefault="00DC3D74" w:rsidP="00DC3D74">
      <w:pPr>
        <w:pStyle w:val="QRCBulletItem"/>
        <w:tabs>
          <w:tab w:val="clear" w:pos="8505"/>
        </w:tabs>
        <w:ind w:left="1134" w:hanging="425"/>
      </w:pPr>
      <w:r>
        <w:t>Spreading of hay as mulch.</w:t>
      </w:r>
      <w:r>
        <w:br/>
      </w:r>
    </w:p>
    <w:p w:rsidR="00DC3D74" w:rsidRDefault="00DC3D74" w:rsidP="00DC3D74">
      <w:pPr>
        <w:pStyle w:val="QRCNormalBody"/>
        <w:numPr>
          <w:ilvl w:val="0"/>
          <w:numId w:val="9"/>
        </w:numPr>
      </w:pPr>
      <w:r>
        <w:t>Calculation of the q</w:t>
      </w:r>
      <w:r w:rsidRPr="00CA1FC9">
        <w:t>uantities of</w:t>
      </w:r>
      <w:r>
        <w:t>:</w:t>
      </w:r>
    </w:p>
    <w:p w:rsidR="00DC3D74" w:rsidRDefault="00DC3D74" w:rsidP="00DC3D74">
      <w:pPr>
        <w:pStyle w:val="QRCBulletItem"/>
        <w:ind w:left="1134" w:hanging="425"/>
      </w:pPr>
      <w:r w:rsidRPr="00CA1FC9">
        <w:t xml:space="preserve">topsoil, </w:t>
      </w:r>
    </w:p>
    <w:p w:rsidR="00DC3D74" w:rsidRDefault="00DC3D74" w:rsidP="00DC3D74">
      <w:pPr>
        <w:pStyle w:val="QRCBulletItem"/>
        <w:ind w:left="1134" w:hanging="425"/>
      </w:pPr>
      <w:r w:rsidRPr="00CA1FC9">
        <w:t xml:space="preserve">manure, </w:t>
      </w:r>
    </w:p>
    <w:p w:rsidR="00DC3D74" w:rsidRDefault="00DC3D74" w:rsidP="00DC3D74">
      <w:pPr>
        <w:pStyle w:val="QRCBulletItem"/>
        <w:ind w:left="1134" w:hanging="425"/>
      </w:pPr>
      <w:r w:rsidRPr="00CA1FC9">
        <w:t xml:space="preserve">fertiliser, </w:t>
      </w:r>
    </w:p>
    <w:p w:rsidR="00DC3D74" w:rsidRDefault="00DC3D74" w:rsidP="00DC3D74">
      <w:pPr>
        <w:pStyle w:val="QRCBulletItem"/>
        <w:ind w:left="1134" w:hanging="425"/>
      </w:pPr>
      <w:r w:rsidRPr="00CA1FC9">
        <w:t xml:space="preserve">seed and </w:t>
      </w:r>
    </w:p>
    <w:p w:rsidR="00DC3D74" w:rsidRDefault="00EB07A7" w:rsidP="00DC3D74">
      <w:pPr>
        <w:pStyle w:val="QRCBulletItem"/>
        <w:ind w:left="1134" w:hanging="425"/>
      </w:pPr>
      <w:proofErr w:type="gramStart"/>
      <w:r>
        <w:t>hay</w:t>
      </w:r>
      <w:proofErr w:type="gramEnd"/>
      <w:r>
        <w:t>.</w:t>
      </w:r>
    </w:p>
    <w:p w:rsidR="00DC3D74" w:rsidRDefault="00DC3D74" w:rsidP="00DC3D74">
      <w:pPr>
        <w:pStyle w:val="QRCBulletItem"/>
        <w:numPr>
          <w:ilvl w:val="0"/>
          <w:numId w:val="0"/>
        </w:numPr>
        <w:ind w:left="709"/>
      </w:pPr>
      <w:r>
        <w:br/>
      </w:r>
      <w:proofErr w:type="gramStart"/>
      <w:r>
        <w:t>f</w:t>
      </w:r>
      <w:r w:rsidRPr="00CA1FC9">
        <w:t>or</w:t>
      </w:r>
      <w:proofErr w:type="gramEnd"/>
      <w:r w:rsidRPr="00CA1FC9">
        <w:t xml:space="preserve"> your site, according to the quantities per hectare in the table below.</w:t>
      </w:r>
      <w:r>
        <w:br/>
      </w:r>
    </w:p>
    <w:p w:rsidR="00DC3D74" w:rsidRPr="00CA1FC9" w:rsidRDefault="00DC3D74" w:rsidP="00DC3D74">
      <w:pPr>
        <w:pStyle w:val="QRCNormalBody"/>
        <w:numPr>
          <w:ilvl w:val="0"/>
          <w:numId w:val="9"/>
        </w:numPr>
      </w:pPr>
      <w:r w:rsidRPr="00CA1FC9">
        <w:t>A fully itemised costing of the project based on the cost per hectare of each element, according to the table below.</w:t>
      </w:r>
    </w:p>
    <w:p w:rsidR="00BB2F27" w:rsidRDefault="00DC3D74" w:rsidP="00DC3D74">
      <w:pPr>
        <w:pStyle w:val="QRCNormalBody"/>
        <w:numPr>
          <w:ilvl w:val="0"/>
          <w:numId w:val="9"/>
        </w:numPr>
      </w:pPr>
      <w:r w:rsidRPr="001F4C46">
        <w:t xml:space="preserve">A timeline </w:t>
      </w:r>
      <w:r>
        <w:t>showing</w:t>
      </w:r>
      <w:r w:rsidRPr="001F4C46">
        <w:t xml:space="preserve"> the order and timing of each stage in the rehabilitation process</w:t>
      </w:r>
      <w:r>
        <w:t>.</w:t>
      </w:r>
    </w:p>
    <w:p w:rsidR="00DC3D74" w:rsidRPr="003E6950" w:rsidRDefault="00DC3D74" w:rsidP="00DC3D74">
      <w:pPr>
        <w:pStyle w:val="QRCHeading3"/>
      </w:pPr>
      <w:r w:rsidRPr="003E6950">
        <w:t>The costs of rehabilitation</w:t>
      </w:r>
    </w:p>
    <w:tbl>
      <w:tblPr>
        <w:tblStyle w:val="TableGrid"/>
        <w:tblW w:w="0" w:type="auto"/>
        <w:jc w:val="center"/>
        <w:tblLook w:val="04A0"/>
      </w:tblPr>
      <w:tblGrid>
        <w:gridCol w:w="1951"/>
        <w:gridCol w:w="4253"/>
        <w:gridCol w:w="1984"/>
        <w:gridCol w:w="1667"/>
      </w:tblGrid>
      <w:tr w:rsidR="00DC3D74" w:rsidTr="00DC3D74">
        <w:trPr>
          <w:jc w:val="center"/>
        </w:trPr>
        <w:tc>
          <w:tcPr>
            <w:tcW w:w="1951" w:type="dxa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Item</w:t>
            </w:r>
          </w:p>
        </w:tc>
        <w:tc>
          <w:tcPr>
            <w:tcW w:w="4253" w:type="dxa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Process</w:t>
            </w:r>
          </w:p>
        </w:tc>
        <w:tc>
          <w:tcPr>
            <w:tcW w:w="1984" w:type="dxa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Quantity per ha</w:t>
            </w:r>
          </w:p>
        </w:tc>
        <w:tc>
          <w:tcPr>
            <w:tcW w:w="1667" w:type="dxa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Cost per ha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Bulk earthworks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Spreading spoil and establishing slope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$12000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Topsoil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Hauling in trucks and spreading with scraper of dozer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300mm depth</w:t>
            </w: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$8800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Drainage works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Construction of drains, bunds, banks and runoff diversions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$500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Manure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Purchase, freight and spread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10 tonnes</w:t>
            </w: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$500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Fertiliser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Purchase, freight and spread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100kg</w:t>
            </w: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$200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Deep ripping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To 1m depth on 2m centres on the contour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$600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Seed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Purchase, freight and spread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25kg</w:t>
            </w: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$400</w:t>
            </w:r>
          </w:p>
        </w:tc>
      </w:tr>
      <w:tr w:rsidR="00DC3D74" w:rsidTr="00DC3D74">
        <w:trPr>
          <w:jc w:val="center"/>
        </w:trPr>
        <w:tc>
          <w:tcPr>
            <w:tcW w:w="1951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Hay</w:t>
            </w:r>
          </w:p>
        </w:tc>
        <w:tc>
          <w:tcPr>
            <w:tcW w:w="4253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Purchase, freight and spread</w:t>
            </w:r>
          </w:p>
        </w:tc>
        <w:tc>
          <w:tcPr>
            <w:tcW w:w="1984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 xml:space="preserve">20 </w:t>
            </w:r>
            <w:proofErr w:type="spellStart"/>
            <w:r>
              <w:t>round</w:t>
            </w:r>
            <w:proofErr w:type="spellEnd"/>
            <w:r>
              <w:t xml:space="preserve"> bales</w:t>
            </w:r>
          </w:p>
        </w:tc>
        <w:tc>
          <w:tcPr>
            <w:tcW w:w="1667" w:type="dxa"/>
          </w:tcPr>
          <w:p w:rsidR="00DC3D74" w:rsidRDefault="00DC3D74" w:rsidP="00DC3D74">
            <w:pPr>
              <w:pStyle w:val="QRCNormalBody"/>
              <w:spacing w:after="0" w:line="260" w:lineRule="atLeast"/>
            </w:pPr>
            <w:r>
              <w:t>$2000</w:t>
            </w:r>
          </w:p>
        </w:tc>
      </w:tr>
    </w:tbl>
    <w:p w:rsidR="00DC3D74" w:rsidRDefault="00DC3D74" w:rsidP="00DC3D74">
      <w:pPr>
        <w:pStyle w:val="QRCNormalBody"/>
      </w:pPr>
    </w:p>
    <w:p w:rsidR="00DC3D74" w:rsidRDefault="00DC3D74" w:rsidP="00DC3D74">
      <w:pPr>
        <w:pStyle w:val="QRCNormalBody"/>
      </w:pPr>
    </w:p>
    <w:p w:rsidR="00DC3D74" w:rsidRDefault="00DC3D74" w:rsidP="00DC3D74">
      <w:pPr>
        <w:pStyle w:val="QRCNormalBody"/>
      </w:pPr>
    </w:p>
    <w:p w:rsidR="00DC3D74" w:rsidRDefault="00DC3D74" w:rsidP="00DC3D74">
      <w:pPr>
        <w:pStyle w:val="QRCNormalBody"/>
      </w:pPr>
    </w:p>
    <w:p w:rsidR="00DC3D74" w:rsidRPr="001F4C46" w:rsidRDefault="00DC3D74" w:rsidP="00DC3D74">
      <w:pPr>
        <w:pStyle w:val="QRCNormalBody"/>
        <w:tabs>
          <w:tab w:val="clear" w:pos="8505"/>
        </w:tabs>
      </w:pPr>
      <w:r w:rsidRPr="00DC3D74">
        <w:rPr>
          <w:rStyle w:val="QRCHeading3Char"/>
        </w:rPr>
        <w:lastRenderedPageBreak/>
        <w:t>Standards: Science</w:t>
      </w:r>
      <w:r w:rsidRPr="00DC3D74">
        <w:rPr>
          <w:rStyle w:val="QRCHeading3Cha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3D74">
        <w:rPr>
          <w:rStyle w:val="QRCBulletTitleChar"/>
        </w:rPr>
        <w:t>Name:</w:t>
      </w:r>
      <w:r>
        <w:t xml:space="preserve"> __________________________</w:t>
      </w:r>
    </w:p>
    <w:p w:rsidR="00DC3D74" w:rsidRPr="001F4C46" w:rsidRDefault="00DC3D74" w:rsidP="00DC3D74">
      <w:pPr>
        <w:pStyle w:val="QRCNormalBody"/>
      </w:pPr>
      <w:r w:rsidRPr="001F4C46">
        <w:t xml:space="preserve">This assignment has a </w:t>
      </w:r>
      <w:r>
        <w:t>strong</w:t>
      </w:r>
      <w:r w:rsidRPr="001F4C46">
        <w:t xml:space="preserve"> maths focus and could also be used as an assessment piece in mathematics.</w:t>
      </w:r>
    </w:p>
    <w:tbl>
      <w:tblPr>
        <w:tblStyle w:val="TableGrid"/>
        <w:tblW w:w="10929" w:type="dxa"/>
        <w:jc w:val="center"/>
        <w:tblInd w:w="-587" w:type="dxa"/>
        <w:tblLook w:val="04A0"/>
      </w:tblPr>
      <w:tblGrid>
        <w:gridCol w:w="2063"/>
        <w:gridCol w:w="1984"/>
        <w:gridCol w:w="1843"/>
        <w:gridCol w:w="1701"/>
        <w:gridCol w:w="1637"/>
        <w:gridCol w:w="1701"/>
      </w:tblGrid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A</w:t>
            </w:r>
          </w:p>
        </w:tc>
        <w:tc>
          <w:tcPr>
            <w:tcW w:w="1984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B</w:t>
            </w:r>
          </w:p>
        </w:tc>
        <w:tc>
          <w:tcPr>
            <w:tcW w:w="1843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C</w:t>
            </w:r>
          </w:p>
        </w:tc>
        <w:tc>
          <w:tcPr>
            <w:tcW w:w="1701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D</w:t>
            </w:r>
          </w:p>
        </w:tc>
        <w:tc>
          <w:tcPr>
            <w:tcW w:w="1637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E</w:t>
            </w:r>
          </w:p>
        </w:tc>
        <w:tc>
          <w:tcPr>
            <w:tcW w:w="1701" w:type="dxa"/>
            <w:vAlign w:val="center"/>
          </w:tcPr>
          <w:p w:rsidR="00DC3D74" w:rsidRPr="00DC3D74" w:rsidRDefault="00DC3D74" w:rsidP="00DC3D74">
            <w:pPr>
              <w:pStyle w:val="QRCBulletTitle"/>
              <w:spacing w:after="120"/>
              <w:rPr>
                <w:color w:val="D4420C"/>
              </w:rPr>
            </w:pPr>
            <w:r w:rsidRPr="00DC3D74">
              <w:rPr>
                <w:color w:val="D4420C"/>
              </w:rPr>
              <w:t>Not attempted</w:t>
            </w:r>
          </w:p>
        </w:tc>
      </w:tr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Explanation and interpretation of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concepts, facts, principles, theories and procedures</w:t>
            </w:r>
          </w:p>
        </w:tc>
        <w:tc>
          <w:tcPr>
            <w:tcW w:w="1984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Explanation of concepts, facts,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principles, theories and procedures</w:t>
            </w:r>
          </w:p>
        </w:tc>
        <w:tc>
          <w:tcPr>
            <w:tcW w:w="184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Descriptions of concepts, facts,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principles, theories and procedures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Statements of familiar concepts,</w:t>
            </w:r>
            <w:r>
              <w:rPr>
                <w:szCs w:val="20"/>
              </w:rPr>
              <w:t xml:space="preserve"> </w:t>
            </w:r>
            <w:r w:rsidRPr="001F4C46">
              <w:rPr>
                <w:szCs w:val="20"/>
              </w:rPr>
              <w:t>facts, principles, theories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procedures</w:t>
            </w:r>
          </w:p>
        </w:tc>
        <w:tc>
          <w:tcPr>
            <w:tcW w:w="1637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Statements of isolated facts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procedures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</w:pPr>
          </w:p>
        </w:tc>
      </w:tr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Application of concepts, facts,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principles, theories and procedures to find solutions in multistep, familiar and unfamiliar situations</w:t>
            </w:r>
          </w:p>
        </w:tc>
        <w:tc>
          <w:tcPr>
            <w:tcW w:w="1984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Application of concepts, facts,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principles, theories and procedures to find solutions in multistep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familiar situations</w:t>
            </w:r>
          </w:p>
        </w:tc>
        <w:tc>
          <w:tcPr>
            <w:tcW w:w="184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Application of concepts, facts,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principles, theories and procedures</w:t>
            </w:r>
            <w:r>
              <w:rPr>
                <w:szCs w:val="20"/>
              </w:rPr>
              <w:t xml:space="preserve"> </w:t>
            </w:r>
            <w:r w:rsidRPr="001F4C46">
              <w:rPr>
                <w:szCs w:val="20"/>
              </w:rPr>
              <w:t>to find solutions in simple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familiar situations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Application of facts and procedures in familiar situations</w:t>
            </w:r>
          </w:p>
        </w:tc>
        <w:tc>
          <w:tcPr>
            <w:tcW w:w="1637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Application of some facts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procedures in very familiar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situations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</w:pPr>
          </w:p>
        </w:tc>
      </w:tr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Systematic analysis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interpretation of valid primary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and/or secondary data, information</w:t>
            </w:r>
            <w:r>
              <w:rPr>
                <w:szCs w:val="20"/>
              </w:rPr>
              <w:t xml:space="preserve"> </w:t>
            </w:r>
            <w:r w:rsidRPr="001F4C46">
              <w:rPr>
                <w:szCs w:val="20"/>
              </w:rPr>
              <w:t>and evidence to identify trends,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anomalies and relationships, linked to scientific concepts and theories</w:t>
            </w:r>
          </w:p>
        </w:tc>
        <w:tc>
          <w:tcPr>
            <w:tcW w:w="1984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Analysis of valid primary and/or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secondary data, information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evidence to identify obvious trends, anomalies and relationships, linked to scientific concepts and theories</w:t>
            </w:r>
          </w:p>
        </w:tc>
        <w:tc>
          <w:tcPr>
            <w:tcW w:w="184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Identification of trends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anomalies in primary or secondary data, information and evidence, mainly using qualitative techniques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Identification of obvious trends and anomalies</w:t>
            </w:r>
          </w:p>
        </w:tc>
        <w:tc>
          <w:tcPr>
            <w:tcW w:w="1637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Recorded data, information and/or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evidence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</w:pPr>
          </w:p>
        </w:tc>
      </w:tr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Perceptive reflection on learning, different perspectives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influences, future applications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investigations, linked to scientific</w:t>
            </w:r>
            <w:r>
              <w:rPr>
                <w:szCs w:val="20"/>
              </w:rPr>
              <w:t xml:space="preserve"> </w:t>
            </w:r>
            <w:r w:rsidRPr="001F4C46">
              <w:rPr>
                <w:szCs w:val="20"/>
              </w:rPr>
              <w:t>knowledge</w:t>
            </w:r>
          </w:p>
        </w:tc>
        <w:tc>
          <w:tcPr>
            <w:tcW w:w="1984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Informed reflection on learning, different perspectives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influences, future applications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investigations, linked to scientific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knowledge</w:t>
            </w:r>
          </w:p>
        </w:tc>
        <w:tc>
          <w:tcPr>
            <w:tcW w:w="184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Relevant identification of the influence and application of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scientific knowledge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Relevant statements about the use of scientific knowledge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</w:p>
        </w:tc>
        <w:tc>
          <w:tcPr>
            <w:tcW w:w="1637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Cursory and general statements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about the use of scientific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knowledge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</w:pPr>
          </w:p>
        </w:tc>
      </w:tr>
      <w:tr w:rsidR="00DC3D74" w:rsidRPr="001F4C46" w:rsidTr="009F6E00">
        <w:trPr>
          <w:jc w:val="center"/>
        </w:trPr>
        <w:tc>
          <w:tcPr>
            <w:tcW w:w="206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Selection and organisation of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relevant information in a variety of formats that clearly and</w:t>
            </w:r>
            <w:r>
              <w:rPr>
                <w:szCs w:val="20"/>
              </w:rPr>
              <w:t xml:space="preserve"> </w:t>
            </w:r>
            <w:r w:rsidRPr="001F4C46">
              <w:rPr>
                <w:szCs w:val="20"/>
              </w:rPr>
              <w:t>concisely conveys meaning using scientific convention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terminology; acknowledges sources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appropriately and consistently</w:t>
            </w:r>
          </w:p>
        </w:tc>
        <w:tc>
          <w:tcPr>
            <w:tcW w:w="1984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Selection and organisation of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relevant information in a variety of formats that conveys meaning using scientific convention and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terminology; acknowledges sources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appropriately</w:t>
            </w:r>
          </w:p>
        </w:tc>
        <w:tc>
          <w:tcPr>
            <w:tcW w:w="1843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Organisation of relevant information in a variety of formats that conveys meaning using scientific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terminology; acknowledging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sources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Organisation of information conveys</w:t>
            </w:r>
          </w:p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meaning</w:t>
            </w:r>
          </w:p>
        </w:tc>
        <w:tc>
          <w:tcPr>
            <w:tcW w:w="1637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  <w:rPr>
                <w:szCs w:val="20"/>
              </w:rPr>
            </w:pPr>
            <w:r w:rsidRPr="001F4C46">
              <w:rPr>
                <w:szCs w:val="20"/>
              </w:rPr>
              <w:t>Information presented</w:t>
            </w:r>
          </w:p>
        </w:tc>
        <w:tc>
          <w:tcPr>
            <w:tcW w:w="1701" w:type="dxa"/>
            <w:vAlign w:val="center"/>
          </w:tcPr>
          <w:p w:rsidR="00DC3D74" w:rsidRPr="001F4C46" w:rsidRDefault="00DC3D74" w:rsidP="00DC3D74">
            <w:pPr>
              <w:pStyle w:val="QRCNormalBody"/>
              <w:spacing w:after="0" w:line="260" w:lineRule="atLeast"/>
            </w:pPr>
          </w:p>
        </w:tc>
      </w:tr>
    </w:tbl>
    <w:p w:rsidR="009F6E00" w:rsidRDefault="009F6E00" w:rsidP="00DC3D74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F6E00" w:rsidRDefault="009F6E00" w:rsidP="00DC3D74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C3D74" w:rsidRPr="001F4C46" w:rsidRDefault="00DC3D74" w:rsidP="009F6E00">
      <w:pPr>
        <w:pStyle w:val="QRCNormalBody"/>
        <w:tabs>
          <w:tab w:val="clear" w:pos="8505"/>
        </w:tabs>
      </w:pPr>
      <w:r w:rsidRPr="009F6E00">
        <w:rPr>
          <w:rStyle w:val="QRCHeading3Char"/>
        </w:rPr>
        <w:lastRenderedPageBreak/>
        <w:t xml:space="preserve">Australian Curriculum Draft Consultation Version 1.0 </w:t>
      </w:r>
      <w:r w:rsidRPr="009F6E00">
        <w:rPr>
          <w:rStyle w:val="QRCHeading3Char"/>
        </w:rPr>
        <w:tab/>
      </w:r>
      <w:r w:rsidR="009F6E00" w:rsidRPr="009F6E00">
        <w:rPr>
          <w:rStyle w:val="QRCHeading3Char"/>
        </w:rPr>
        <w:tab/>
      </w:r>
      <w:r w:rsidR="009F6E00">
        <w:tab/>
      </w:r>
      <w:r w:rsidR="009F6E00">
        <w:tab/>
      </w:r>
      <w:r>
        <w:t>Name: _________________</w:t>
      </w:r>
      <w:r w:rsidR="009F6E00">
        <w:t>_________</w:t>
      </w:r>
    </w:p>
    <w:p w:rsidR="00DC3D74" w:rsidRPr="001F4C46" w:rsidRDefault="00DC3D74" w:rsidP="009F6E00">
      <w:pPr>
        <w:pStyle w:val="QRCNormalBody"/>
        <w:tabs>
          <w:tab w:val="clear" w:pos="8505"/>
        </w:tabs>
      </w:pPr>
      <w:r w:rsidRPr="001F4C46">
        <w:t>Achievement standard</w:t>
      </w:r>
    </w:p>
    <w:tbl>
      <w:tblPr>
        <w:tblStyle w:val="TableGrid"/>
        <w:tblW w:w="9855" w:type="dxa"/>
        <w:jc w:val="center"/>
        <w:tblLook w:val="04A0"/>
      </w:tblPr>
      <w:tblGrid>
        <w:gridCol w:w="4503"/>
        <w:gridCol w:w="850"/>
        <w:gridCol w:w="851"/>
        <w:gridCol w:w="850"/>
        <w:gridCol w:w="851"/>
        <w:gridCol w:w="848"/>
        <w:gridCol w:w="1102"/>
      </w:tblGrid>
      <w:tr w:rsidR="00DC3D74" w:rsidRPr="001F4C46" w:rsidTr="009F6E00">
        <w:trPr>
          <w:jc w:val="center"/>
        </w:trPr>
        <w:tc>
          <w:tcPr>
            <w:tcW w:w="4503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Criteria</w:t>
            </w:r>
          </w:p>
        </w:tc>
        <w:tc>
          <w:tcPr>
            <w:tcW w:w="850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A</w:t>
            </w:r>
          </w:p>
        </w:tc>
        <w:tc>
          <w:tcPr>
            <w:tcW w:w="851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B</w:t>
            </w:r>
          </w:p>
        </w:tc>
        <w:tc>
          <w:tcPr>
            <w:tcW w:w="850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C</w:t>
            </w:r>
          </w:p>
        </w:tc>
        <w:tc>
          <w:tcPr>
            <w:tcW w:w="851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D</w:t>
            </w:r>
          </w:p>
        </w:tc>
        <w:tc>
          <w:tcPr>
            <w:tcW w:w="848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E</w:t>
            </w:r>
          </w:p>
        </w:tc>
        <w:tc>
          <w:tcPr>
            <w:tcW w:w="1102" w:type="dxa"/>
          </w:tcPr>
          <w:p w:rsidR="00DC3D74" w:rsidRPr="009F6E00" w:rsidRDefault="00DC3D74" w:rsidP="009F6E00">
            <w:pPr>
              <w:pStyle w:val="QRCBulletTitle"/>
              <w:spacing w:after="120"/>
              <w:rPr>
                <w:color w:val="D4420C"/>
              </w:rPr>
            </w:pPr>
            <w:r w:rsidRPr="009F6E00">
              <w:rPr>
                <w:color w:val="D4420C"/>
              </w:rPr>
              <w:t>Not attempted</w:t>
            </w:r>
          </w:p>
        </w:tc>
      </w:tr>
      <w:tr w:rsidR="00DC3D74" w:rsidRPr="001F4C46" w:rsidTr="009F6E00">
        <w:trPr>
          <w:jc w:val="center"/>
        </w:trPr>
        <w:tc>
          <w:tcPr>
            <w:tcW w:w="4503" w:type="dxa"/>
          </w:tcPr>
          <w:p w:rsidR="00DC3D74" w:rsidRPr="001F4C46" w:rsidRDefault="00DC3D74" w:rsidP="009F6E00">
            <w:pPr>
              <w:pStyle w:val="QRCNormalBody"/>
            </w:pPr>
            <w:r w:rsidRPr="001F4C46">
              <w:rPr>
                <w:rFonts w:eastAsia="ArialUnicodeMS"/>
              </w:rPr>
              <w:t>Students communicate scientific ideas using appropriate types of representation and consistently correct scientific language.</w:t>
            </w: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48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1102" w:type="dxa"/>
          </w:tcPr>
          <w:p w:rsidR="00DC3D74" w:rsidRPr="001F4C46" w:rsidRDefault="00DC3D74" w:rsidP="009F6E00">
            <w:pPr>
              <w:pStyle w:val="QRCNormalBody"/>
            </w:pPr>
          </w:p>
        </w:tc>
      </w:tr>
      <w:tr w:rsidR="00DC3D74" w:rsidRPr="001F4C46" w:rsidTr="009F6E00">
        <w:trPr>
          <w:jc w:val="center"/>
        </w:trPr>
        <w:tc>
          <w:tcPr>
            <w:tcW w:w="4503" w:type="dxa"/>
          </w:tcPr>
          <w:p w:rsidR="00DC3D74" w:rsidRPr="001F4C46" w:rsidRDefault="00DC3D74" w:rsidP="009F6E00">
            <w:pPr>
              <w:pStyle w:val="QRCNormalBody"/>
            </w:pPr>
            <w:r w:rsidRPr="001F4C46">
              <w:rPr>
                <w:rFonts w:eastAsia="ArialUnicodeMS"/>
              </w:rPr>
              <w:t>Students demonstrate the ability to use scientific evidence in their decision making and in developing arguments about science-related issues.</w:t>
            </w: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48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1102" w:type="dxa"/>
          </w:tcPr>
          <w:p w:rsidR="00DC3D74" w:rsidRPr="001F4C46" w:rsidRDefault="00DC3D74" w:rsidP="009F6E00">
            <w:pPr>
              <w:pStyle w:val="QRCNormalBody"/>
            </w:pPr>
          </w:p>
        </w:tc>
      </w:tr>
      <w:tr w:rsidR="00DC3D74" w:rsidRPr="001F4C46" w:rsidTr="009F6E00">
        <w:trPr>
          <w:jc w:val="center"/>
        </w:trPr>
        <w:tc>
          <w:tcPr>
            <w:tcW w:w="4503" w:type="dxa"/>
          </w:tcPr>
          <w:p w:rsidR="00DC3D74" w:rsidRPr="001F4C46" w:rsidRDefault="00DC3D74" w:rsidP="009F6E00">
            <w:pPr>
              <w:pStyle w:val="QRCNormalBody"/>
            </w:pPr>
            <w:r w:rsidRPr="001F4C46">
              <w:rPr>
                <w:rFonts w:eastAsia="ArialUnicodeMS"/>
              </w:rPr>
              <w:t>Students evaluate how advances in science and technology have impacted on society and the environment.</w:t>
            </w: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48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1102" w:type="dxa"/>
          </w:tcPr>
          <w:p w:rsidR="00DC3D74" w:rsidRPr="001F4C46" w:rsidRDefault="00DC3D74" w:rsidP="009F6E00">
            <w:pPr>
              <w:pStyle w:val="QRCNormalBody"/>
            </w:pPr>
          </w:p>
        </w:tc>
      </w:tr>
      <w:tr w:rsidR="00DC3D74" w:rsidRPr="001F4C46" w:rsidTr="009F6E00">
        <w:trPr>
          <w:jc w:val="center"/>
        </w:trPr>
        <w:tc>
          <w:tcPr>
            <w:tcW w:w="4503" w:type="dxa"/>
          </w:tcPr>
          <w:p w:rsidR="00DC3D74" w:rsidRPr="001F4C46" w:rsidRDefault="00DC3D74" w:rsidP="009F6E00">
            <w:pPr>
              <w:pStyle w:val="QRCNormalBody"/>
            </w:pPr>
            <w:r w:rsidRPr="001F4C46">
              <w:rPr>
                <w:rFonts w:eastAsia="ArialUnicodeMS"/>
              </w:rPr>
              <w:t>Students use scientific knowledge across a range of sciences to critique claims and propose responses to contemporary issues.</w:t>
            </w: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0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51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848" w:type="dxa"/>
          </w:tcPr>
          <w:p w:rsidR="00DC3D74" w:rsidRPr="001F4C46" w:rsidRDefault="00DC3D74" w:rsidP="009F6E00">
            <w:pPr>
              <w:pStyle w:val="QRCNormalBody"/>
            </w:pPr>
          </w:p>
        </w:tc>
        <w:tc>
          <w:tcPr>
            <w:tcW w:w="1102" w:type="dxa"/>
          </w:tcPr>
          <w:p w:rsidR="00DC3D74" w:rsidRPr="001F4C46" w:rsidRDefault="00DC3D74" w:rsidP="009F6E00">
            <w:pPr>
              <w:pStyle w:val="QRCNormalBody"/>
            </w:pPr>
          </w:p>
        </w:tc>
      </w:tr>
    </w:tbl>
    <w:p w:rsidR="00DC3D74" w:rsidRPr="00D22541" w:rsidRDefault="00DC3D74" w:rsidP="009F6E00">
      <w:pPr>
        <w:pStyle w:val="QRCNormalBody"/>
      </w:pPr>
    </w:p>
    <w:sectPr w:rsidR="00DC3D74" w:rsidRPr="00D22541" w:rsidSect="003C2EE0">
      <w:type w:val="continuous"/>
      <w:pgSz w:w="11906" w:h="16838"/>
      <w:pgMar w:top="1701" w:right="56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040" w:rsidRDefault="00351040" w:rsidP="00C27A1F">
      <w:r>
        <w:separator/>
      </w:r>
    </w:p>
  </w:endnote>
  <w:endnote w:type="continuationSeparator" w:id="0">
    <w:p w:rsidR="00351040" w:rsidRDefault="00351040" w:rsidP="00C2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19B" w:rsidRDefault="008836A3">
    <w:pPr>
      <w:pStyle w:val="Footer"/>
    </w:pPr>
    <w:r w:rsidRPr="008836A3"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14.45pt;margin-top:4.45pt;width:565.1pt;height:35.8pt;z-index:251662336" filled="f" stroked="f">
          <v:textbox>
            <w:txbxContent>
              <w:p w:rsidR="009F119B" w:rsidRPr="00916D0F" w:rsidRDefault="009F119B" w:rsidP="00E71496">
                <w:pPr>
                  <w:jc w:val="center"/>
                  <w:rPr>
                    <w:b/>
                    <w:color w:val="CAC1B9"/>
                    <w:sz w:val="12"/>
                    <w:lang w:val="en-GB"/>
                  </w:rPr>
                </w:pPr>
                <w:proofErr w:type="spellStart"/>
                <w:r w:rsidRPr="00916D0F">
                  <w:rPr>
                    <w:b/>
                    <w:color w:val="CAC1B9"/>
                    <w:sz w:val="12"/>
                    <w:lang w:val="en-GB"/>
                  </w:rPr>
                  <w:t>OresomeResources</w:t>
                </w:r>
                <w:proofErr w:type="spellEnd"/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- Queensland Resources Council - Minerals and Energy Education</w:t>
                </w:r>
              </w:p>
              <w:p w:rsidR="009F119B" w:rsidRPr="00916D0F" w:rsidRDefault="009F119B" w:rsidP="00E71496">
                <w:pPr>
                  <w:jc w:val="center"/>
                  <w:rPr>
                    <w:b/>
                    <w:color w:val="CAC1B9"/>
                    <w:sz w:val="12"/>
                    <w:lang w:val="en-GB"/>
                  </w:rPr>
                </w:pPr>
                <w:r w:rsidRPr="00916D0F">
                  <w:rPr>
                    <w:color w:val="CAC1B9"/>
                    <w:sz w:val="12"/>
                    <w:lang w:val="en-GB"/>
                  </w:rPr>
                  <w:t>T</w:t>
                </w:r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(07) 3295 9560 </w:t>
                </w:r>
                <w:r w:rsidRPr="00916D0F">
                  <w:rPr>
                    <w:color w:val="CAC1B9"/>
                    <w:sz w:val="12"/>
                    <w:lang w:val="en-GB"/>
                  </w:rPr>
                  <w:t>F</w:t>
                </w:r>
                <w:r w:rsidRPr="00916D0F">
                  <w:rPr>
                    <w:b/>
                    <w:color w:val="CAC1B9"/>
                    <w:sz w:val="12"/>
                    <w:lang w:val="en-GB"/>
                  </w:rPr>
                  <w:t xml:space="preserve"> (07) 3295 9570</w:t>
                </w:r>
              </w:p>
              <w:p w:rsidR="009F119B" w:rsidRPr="00916D0F" w:rsidRDefault="009F119B" w:rsidP="00E71496">
                <w:pPr>
                  <w:jc w:val="center"/>
                  <w:rPr>
                    <w:color w:val="CAC1B9"/>
                    <w:sz w:val="12"/>
                    <w:lang w:val="en-GB"/>
                  </w:rPr>
                </w:pPr>
                <w:r w:rsidRPr="00916D0F">
                  <w:rPr>
                    <w:color w:val="CAC1B9"/>
                    <w:sz w:val="12"/>
                    <w:lang w:val="en-GB"/>
                  </w:rPr>
                  <w:t xml:space="preserve">Level 13 133 Mary St Brisbane, Queensland 4000 – </w:t>
                </w:r>
                <w:hyperlink r:id="rId1" w:history="1">
                  <w:r w:rsidRPr="00916D0F">
                    <w:rPr>
                      <w:rStyle w:val="Hyperlink"/>
                      <w:color w:val="CAC1B9"/>
                      <w:sz w:val="12"/>
                      <w:lang w:val="en-GB"/>
                    </w:rPr>
                    <w:t>www.oresomeresources.com</w:t>
                  </w:r>
                </w:hyperlink>
              </w:p>
              <w:p w:rsidR="009F119B" w:rsidRPr="00916D0F" w:rsidRDefault="009F119B" w:rsidP="00E71496">
                <w:pPr>
                  <w:jc w:val="center"/>
                  <w:rPr>
                    <w:b/>
                    <w:color w:val="CAC1B9"/>
                    <w:sz w:val="12"/>
                  </w:rPr>
                </w:pPr>
              </w:p>
            </w:txbxContent>
          </v:textbox>
        </v:shape>
      </w:pict>
    </w:r>
    <w:r w:rsidR="009F119B" w:rsidRPr="00C27A1F"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19050" t="0" r="4445" b="0"/>
          <wp:wrapNone/>
          <wp:docPr id="6" name="Picture 0" descr="bg-desig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-desig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040" w:rsidRDefault="00351040" w:rsidP="00C27A1F">
      <w:r>
        <w:separator/>
      </w:r>
    </w:p>
  </w:footnote>
  <w:footnote w:type="continuationSeparator" w:id="0">
    <w:p w:rsidR="00351040" w:rsidRDefault="00351040" w:rsidP="00C27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4pt" o:bullet="t">
        <v:imagedata r:id="rId1" o:title="bullet"/>
      </v:shape>
    </w:pict>
  </w:numPicBullet>
  <w:abstractNum w:abstractNumId="0">
    <w:nsid w:val="001250C0"/>
    <w:multiLevelType w:val="hybridMultilevel"/>
    <w:tmpl w:val="4C107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5300F"/>
    <w:multiLevelType w:val="hybridMultilevel"/>
    <w:tmpl w:val="EF5AD548"/>
    <w:lvl w:ilvl="0" w:tplc="FDA07486">
      <w:start w:val="1"/>
      <w:numFmt w:val="bullet"/>
      <w:pStyle w:val="QRCBulletItem"/>
      <w:lvlText w:val=""/>
      <w:lvlPicBulletId w:val="0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1ADB6D23"/>
    <w:multiLevelType w:val="hybridMultilevel"/>
    <w:tmpl w:val="3D544E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A6A3A"/>
    <w:multiLevelType w:val="hybridMultilevel"/>
    <w:tmpl w:val="E16448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577E4"/>
    <w:multiLevelType w:val="hybridMultilevel"/>
    <w:tmpl w:val="7298C6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D47FC"/>
    <w:multiLevelType w:val="hybridMultilevel"/>
    <w:tmpl w:val="942E4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8E8"/>
    <w:multiLevelType w:val="hybridMultilevel"/>
    <w:tmpl w:val="0D68C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57800"/>
    <w:multiLevelType w:val="hybridMultilevel"/>
    <w:tmpl w:val="C21ADF72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C4548CC"/>
    <w:multiLevelType w:val="hybridMultilevel"/>
    <w:tmpl w:val="06D21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1F2CB8"/>
    <w:multiLevelType w:val="hybridMultilevel"/>
    <w:tmpl w:val="69963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1A66"/>
    <w:rsid w:val="00007C0C"/>
    <w:rsid w:val="00071095"/>
    <w:rsid w:val="00087BD3"/>
    <w:rsid w:val="000B0C3C"/>
    <w:rsid w:val="000D589E"/>
    <w:rsid w:val="000D7546"/>
    <w:rsid w:val="00187635"/>
    <w:rsid w:val="00290D67"/>
    <w:rsid w:val="00293B8E"/>
    <w:rsid w:val="00296922"/>
    <w:rsid w:val="002B1D76"/>
    <w:rsid w:val="002C4479"/>
    <w:rsid w:val="00312C17"/>
    <w:rsid w:val="00312DFC"/>
    <w:rsid w:val="0033337D"/>
    <w:rsid w:val="00340838"/>
    <w:rsid w:val="00351040"/>
    <w:rsid w:val="003C2EE0"/>
    <w:rsid w:val="00441962"/>
    <w:rsid w:val="004802A5"/>
    <w:rsid w:val="004A65B9"/>
    <w:rsid w:val="00504D01"/>
    <w:rsid w:val="00522413"/>
    <w:rsid w:val="00582DB3"/>
    <w:rsid w:val="006109B7"/>
    <w:rsid w:val="0062123F"/>
    <w:rsid w:val="006256F5"/>
    <w:rsid w:val="00662C6F"/>
    <w:rsid w:val="006630AB"/>
    <w:rsid w:val="00665FEC"/>
    <w:rsid w:val="006D7377"/>
    <w:rsid w:val="006F5777"/>
    <w:rsid w:val="00722B02"/>
    <w:rsid w:val="007669E7"/>
    <w:rsid w:val="00775C9A"/>
    <w:rsid w:val="007C28D1"/>
    <w:rsid w:val="007C2F99"/>
    <w:rsid w:val="007C67FF"/>
    <w:rsid w:val="008316B1"/>
    <w:rsid w:val="008323B5"/>
    <w:rsid w:val="00861224"/>
    <w:rsid w:val="008836A3"/>
    <w:rsid w:val="00916D0F"/>
    <w:rsid w:val="009311A0"/>
    <w:rsid w:val="0094670C"/>
    <w:rsid w:val="009A5577"/>
    <w:rsid w:val="009D1A66"/>
    <w:rsid w:val="009D30D5"/>
    <w:rsid w:val="009F119B"/>
    <w:rsid w:val="009F6E00"/>
    <w:rsid w:val="00A25F5C"/>
    <w:rsid w:val="00A30361"/>
    <w:rsid w:val="00A7131A"/>
    <w:rsid w:val="00A804E1"/>
    <w:rsid w:val="00AB5EAE"/>
    <w:rsid w:val="00AD4463"/>
    <w:rsid w:val="00AE57A4"/>
    <w:rsid w:val="00B51B28"/>
    <w:rsid w:val="00BB2F27"/>
    <w:rsid w:val="00BE1F8A"/>
    <w:rsid w:val="00C215E5"/>
    <w:rsid w:val="00C27A1F"/>
    <w:rsid w:val="00C56BB8"/>
    <w:rsid w:val="00C6090D"/>
    <w:rsid w:val="00C6205A"/>
    <w:rsid w:val="00C667C8"/>
    <w:rsid w:val="00C877E0"/>
    <w:rsid w:val="00CA179F"/>
    <w:rsid w:val="00CE0B32"/>
    <w:rsid w:val="00CF5D75"/>
    <w:rsid w:val="00D22541"/>
    <w:rsid w:val="00D47A77"/>
    <w:rsid w:val="00DC3D74"/>
    <w:rsid w:val="00DC3E03"/>
    <w:rsid w:val="00DC59A7"/>
    <w:rsid w:val="00DE45C1"/>
    <w:rsid w:val="00E14DD6"/>
    <w:rsid w:val="00E5673B"/>
    <w:rsid w:val="00E71496"/>
    <w:rsid w:val="00E7421E"/>
    <w:rsid w:val="00EA0470"/>
    <w:rsid w:val="00EB07A7"/>
    <w:rsid w:val="00EF0324"/>
    <w:rsid w:val="00F0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" strokecolor="none"/>
    </o:shapedefaults>
    <o:shapelayout v:ext="edit">
      <o:idmap v:ext="edit" data="1"/>
      <o:rules v:ext="edit">
        <o:r id="V:Rule7" type="arc" idref="#_x0000_s1069"/>
        <o:r id="V:Rule10" type="arc" idref="#_x0000_s1074"/>
        <o:r id="V:Rule17" type="connector" idref="#_x0000_s1075"/>
        <o:r id="V:Rule18" type="connector" idref="#_x0000_s1065"/>
        <o:r id="V:Rule19" type="connector" idref="#_x0000_s1064"/>
        <o:r id="V:Rule20" type="connector" idref="#_x0000_s1085"/>
        <o:r id="V:Rule21" type="connector" idref="#_x0000_s1066"/>
        <o:r id="V:Rule22" type="connector" idref="#_x0000_s1067"/>
        <o:r id="V:Rule23" type="connector" idref="#_x0000_s1084"/>
        <o:r id="V:Rule24" type="connector" idref="#_x0000_s1082"/>
        <o:r id="V:Rule25" type="connector" idref="#_x0000_s1083"/>
        <o:r id="V:Rule26" type="connector" idref="#_x0000_s1081"/>
        <o:r id="V:Rule27" type="connector" idref="#_x0000_s1060"/>
        <o:r id="V:Rule28" type="connector" idref="#_x0000_s1072"/>
        <o:r id="V:Rule29" type="connector" idref="#_x0000_s1071"/>
        <o:r id="V:Rule30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71496"/>
    <w:pPr>
      <w:spacing w:after="0" w:line="240" w:lineRule="auto"/>
    </w:pPr>
    <w:rPr>
      <w:rFonts w:ascii="Calibri" w:hAnsi="Calibri" w:cs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1A66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7A1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7A1F"/>
  </w:style>
  <w:style w:type="paragraph" w:styleId="Footer">
    <w:name w:val="footer"/>
    <w:basedOn w:val="Normal"/>
    <w:link w:val="FooterChar"/>
    <w:uiPriority w:val="99"/>
    <w:semiHidden/>
    <w:unhideWhenUsed/>
    <w:rsid w:val="00C27A1F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7A1F"/>
  </w:style>
  <w:style w:type="paragraph" w:styleId="ListParagraph">
    <w:name w:val="List Paragraph"/>
    <w:basedOn w:val="Normal"/>
    <w:link w:val="ListParagraphChar"/>
    <w:uiPriority w:val="34"/>
    <w:qFormat/>
    <w:rsid w:val="004802A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QRCHeading1">
    <w:name w:val="QRC Heading 1"/>
    <w:basedOn w:val="Normal"/>
    <w:link w:val="QRCHeading1Char"/>
    <w:rsid w:val="00916D0F"/>
    <w:pPr>
      <w:spacing w:after="200" w:line="276" w:lineRule="auto"/>
    </w:pPr>
    <w:rPr>
      <w:noProof/>
      <w:color w:val="DD420C"/>
      <w:spacing w:val="-20"/>
      <w:sz w:val="36"/>
    </w:rPr>
  </w:style>
  <w:style w:type="paragraph" w:customStyle="1" w:styleId="QRCHeading2">
    <w:name w:val="QRC Heading 2"/>
    <w:basedOn w:val="Normal"/>
    <w:link w:val="QRCHeading2Char"/>
    <w:qFormat/>
    <w:rsid w:val="00916D0F"/>
    <w:pPr>
      <w:tabs>
        <w:tab w:val="left" w:pos="6237"/>
      </w:tabs>
      <w:spacing w:after="200"/>
      <w:ind w:right="2552"/>
    </w:pPr>
    <w:rPr>
      <w:color w:val="808080" w:themeColor="background1" w:themeShade="80"/>
      <w:spacing w:val="-20"/>
      <w:sz w:val="28"/>
      <w:lang w:eastAsia="en-US"/>
    </w:rPr>
  </w:style>
  <w:style w:type="character" w:customStyle="1" w:styleId="QRCHeading1Char">
    <w:name w:val="QRC Heading 1 Char"/>
    <w:basedOn w:val="DefaultParagraphFont"/>
    <w:link w:val="QRCHeading1"/>
    <w:rsid w:val="00916D0F"/>
    <w:rPr>
      <w:rFonts w:ascii="Calibri" w:hAnsi="Calibri" w:cs="Calibri"/>
      <w:noProof/>
      <w:color w:val="DD420C"/>
      <w:spacing w:val="-20"/>
      <w:sz w:val="36"/>
      <w:lang w:eastAsia="en-AU"/>
    </w:rPr>
  </w:style>
  <w:style w:type="paragraph" w:customStyle="1" w:styleId="QRCHeading3">
    <w:name w:val="QRC Heading 3"/>
    <w:basedOn w:val="Normal"/>
    <w:link w:val="QRCHeading3Char"/>
    <w:qFormat/>
    <w:rsid w:val="00DC3E03"/>
    <w:pPr>
      <w:tabs>
        <w:tab w:val="left" w:pos="8505"/>
      </w:tabs>
      <w:spacing w:before="240" w:after="200"/>
    </w:pPr>
    <w:rPr>
      <w:color w:val="51C8E8"/>
      <w:spacing w:val="-20"/>
      <w:sz w:val="28"/>
      <w:lang w:eastAsia="en-US"/>
    </w:rPr>
  </w:style>
  <w:style w:type="character" w:customStyle="1" w:styleId="QRCHeading2Char">
    <w:name w:val="QRC Heading 2 Char"/>
    <w:basedOn w:val="DefaultParagraphFont"/>
    <w:link w:val="QRCHeading2"/>
    <w:rsid w:val="00916D0F"/>
    <w:rPr>
      <w:rFonts w:ascii="Calibri" w:hAnsi="Calibri" w:cs="Calibri"/>
      <w:color w:val="808080" w:themeColor="background1" w:themeShade="80"/>
      <w:spacing w:val="-20"/>
      <w:sz w:val="28"/>
    </w:rPr>
  </w:style>
  <w:style w:type="paragraph" w:customStyle="1" w:styleId="QRCNormalBody">
    <w:name w:val="QRC Normal Body"/>
    <w:basedOn w:val="Normal"/>
    <w:link w:val="QRCNormalBodyChar"/>
    <w:qFormat/>
    <w:rsid w:val="00DC3E03"/>
    <w:pPr>
      <w:tabs>
        <w:tab w:val="left" w:pos="8505"/>
      </w:tabs>
      <w:spacing w:after="200"/>
    </w:pPr>
    <w:rPr>
      <w:color w:val="808080" w:themeColor="background1" w:themeShade="80"/>
      <w:sz w:val="20"/>
      <w:lang w:eastAsia="en-US"/>
    </w:rPr>
  </w:style>
  <w:style w:type="character" w:customStyle="1" w:styleId="QRCHeading3Char">
    <w:name w:val="QRC Heading 3 Char"/>
    <w:basedOn w:val="DefaultParagraphFont"/>
    <w:link w:val="QRCHeading3"/>
    <w:rsid w:val="00DC3E03"/>
    <w:rPr>
      <w:rFonts w:ascii="Calibri" w:hAnsi="Calibri" w:cs="Calibri"/>
      <w:color w:val="51C8E8"/>
      <w:spacing w:val="-20"/>
      <w:sz w:val="28"/>
    </w:rPr>
  </w:style>
  <w:style w:type="paragraph" w:customStyle="1" w:styleId="QRCBulletTitle">
    <w:name w:val="QRC Bullet Title"/>
    <w:basedOn w:val="Normal"/>
    <w:link w:val="QRCBulletTitleChar"/>
    <w:qFormat/>
    <w:rsid w:val="00DC3E03"/>
    <w:pPr>
      <w:tabs>
        <w:tab w:val="left" w:pos="8505"/>
      </w:tabs>
      <w:spacing w:after="200"/>
    </w:pPr>
    <w:rPr>
      <w:b/>
      <w:color w:val="808080" w:themeColor="background1" w:themeShade="80"/>
      <w:sz w:val="20"/>
      <w:lang w:eastAsia="en-US"/>
    </w:rPr>
  </w:style>
  <w:style w:type="character" w:customStyle="1" w:styleId="QRCNormalBodyChar">
    <w:name w:val="QRC Normal Body Char"/>
    <w:basedOn w:val="DefaultParagraphFont"/>
    <w:link w:val="QRCNormalBody"/>
    <w:rsid w:val="00DC3E03"/>
    <w:rPr>
      <w:rFonts w:ascii="Calibri" w:hAnsi="Calibri" w:cs="Calibri"/>
      <w:color w:val="808080" w:themeColor="background1" w:themeShade="80"/>
      <w:sz w:val="20"/>
    </w:rPr>
  </w:style>
  <w:style w:type="paragraph" w:customStyle="1" w:styleId="QRCBulletItem">
    <w:name w:val="QRC Bullet Item"/>
    <w:basedOn w:val="ListParagraph"/>
    <w:link w:val="QRCBulletItemChar"/>
    <w:qFormat/>
    <w:rsid w:val="00DC3E03"/>
    <w:pPr>
      <w:numPr>
        <w:numId w:val="1"/>
      </w:numPr>
      <w:tabs>
        <w:tab w:val="left" w:pos="8505"/>
      </w:tabs>
      <w:spacing w:after="0" w:line="240" w:lineRule="auto"/>
      <w:ind w:left="641" w:hanging="357"/>
    </w:pPr>
    <w:rPr>
      <w:rFonts w:ascii="Calibri" w:hAnsi="Calibri" w:cs="Calibri"/>
      <w:color w:val="808080" w:themeColor="background1" w:themeShade="80"/>
      <w:sz w:val="20"/>
    </w:rPr>
  </w:style>
  <w:style w:type="character" w:customStyle="1" w:styleId="QRCBulletTitleChar">
    <w:name w:val="QRC Bullet Title Char"/>
    <w:basedOn w:val="DefaultParagraphFont"/>
    <w:link w:val="QRCBulletTitle"/>
    <w:rsid w:val="00DC3E03"/>
    <w:rPr>
      <w:rFonts w:ascii="Calibri" w:hAnsi="Calibri" w:cs="Calibri"/>
      <w:b/>
      <w:color w:val="808080" w:themeColor="background1" w:themeShade="80"/>
      <w:sz w:val="20"/>
    </w:rPr>
  </w:style>
  <w:style w:type="character" w:styleId="Hyperlink">
    <w:name w:val="Hyperlink"/>
    <w:basedOn w:val="DefaultParagraphFont"/>
    <w:uiPriority w:val="99"/>
    <w:unhideWhenUsed/>
    <w:rsid w:val="00E71496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673B"/>
  </w:style>
  <w:style w:type="character" w:customStyle="1" w:styleId="QRCBulletItemChar">
    <w:name w:val="QRC Bullet Item Char"/>
    <w:basedOn w:val="ListParagraphChar"/>
    <w:link w:val="QRCBulletItem"/>
    <w:rsid w:val="00DC3E03"/>
    <w:rPr>
      <w:rFonts w:ascii="Calibri" w:hAnsi="Calibri" w:cs="Calibri"/>
      <w:color w:val="808080" w:themeColor="background1" w:themeShade="80"/>
      <w:sz w:val="20"/>
    </w:rPr>
  </w:style>
  <w:style w:type="paragraph" w:customStyle="1" w:styleId="QRCTopHeading">
    <w:name w:val="QRC Top Heading"/>
    <w:basedOn w:val="Normal"/>
    <w:link w:val="QRCTopHeadingChar"/>
    <w:qFormat/>
    <w:rsid w:val="002C4479"/>
    <w:rPr>
      <w:color w:val="404040" w:themeColor="text1" w:themeTint="BF"/>
      <w:spacing w:val="-20"/>
      <w:sz w:val="32"/>
    </w:rPr>
  </w:style>
  <w:style w:type="character" w:customStyle="1" w:styleId="QRCTopHeadingChar">
    <w:name w:val="QRC Top Heading Char"/>
    <w:basedOn w:val="DefaultParagraphFont"/>
    <w:link w:val="QRCTopHeading"/>
    <w:rsid w:val="002C4479"/>
    <w:rPr>
      <w:rFonts w:ascii="Calibri" w:hAnsi="Calibri" w:cs="Calibri"/>
      <w:color w:val="404040" w:themeColor="text1" w:themeTint="BF"/>
      <w:spacing w:val="-20"/>
      <w:sz w:val="3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877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316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small1">
    <w:name w:val="small1"/>
    <w:basedOn w:val="DefaultParagraphFont"/>
    <w:rsid w:val="008316B1"/>
    <w:rPr>
      <w:rFonts w:ascii="Verdana" w:hAnsi="Verdana" w:hint="default"/>
      <w:color w:val="000000"/>
      <w:sz w:val="15"/>
      <w:szCs w:val="15"/>
    </w:rPr>
  </w:style>
  <w:style w:type="table" w:styleId="TableGrid">
    <w:name w:val="Table Grid"/>
    <w:basedOn w:val="TableNormal"/>
    <w:uiPriority w:val="59"/>
    <w:rsid w:val="00DC3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oresomeresource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74B8-DB90-4531-ACE9-18639F3A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katrinaj</cp:lastModifiedBy>
  <cp:revision>4</cp:revision>
  <cp:lastPrinted>2010-02-23T00:24:00Z</cp:lastPrinted>
  <dcterms:created xsi:type="dcterms:W3CDTF">2010-09-28T00:30:00Z</dcterms:created>
  <dcterms:modified xsi:type="dcterms:W3CDTF">2010-09-29T22:04:00Z</dcterms:modified>
</cp:coreProperties>
</file>