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D01" w:rsidRDefault="00495F94" w:rsidP="00CE0B32">
      <w:pPr>
        <w:pStyle w:val="QRCHeading1"/>
      </w:pPr>
      <w:r w:rsidRPr="00495F94">
        <w:pict>
          <v:shapetype id="_x0000_t202" coordsize="21600,21600" o:spt="202" path="m,l,21600r21600,l21600,xe">
            <v:stroke joinstyle="miter"/>
            <v:path gradientshapeok="t" o:connecttype="rect"/>
          </v:shapetype>
          <v:shape id="_x0000_s1028" type="#_x0000_t202" style="position:absolute;margin-left:99.1pt;margin-top:-79.05pt;width:446.75pt;height:29.35pt;z-index:251658752;mso-position-horizontal-relative:text;mso-position-vertical-relative:text;mso-width-relative:margin;mso-height-relative:margin" filled="f" stroked="f">
            <v:textbox style="mso-next-textbox:#_x0000_s1028">
              <w:txbxContent>
                <w:p w:rsidR="00453C4E" w:rsidRPr="00312DFC" w:rsidRDefault="00453C4E" w:rsidP="00312DFC">
                  <w:pPr>
                    <w:pStyle w:val="QRCTopHeading"/>
                  </w:pPr>
                  <w:r>
                    <w:t>Coal</w:t>
                  </w:r>
                  <w:r w:rsidRPr="00312DFC">
                    <w:t xml:space="preserve"> </w:t>
                  </w:r>
                  <w:r>
                    <w:rPr>
                      <w:color w:val="DD420C"/>
                    </w:rPr>
                    <w:t>Gasification</w:t>
                  </w:r>
                </w:p>
              </w:txbxContent>
            </v:textbox>
            <w10:anchorlock/>
          </v:shape>
        </w:pict>
      </w:r>
      <w:r w:rsidR="007C2F99" w:rsidRPr="00722B02">
        <w:t xml:space="preserve">What is </w:t>
      </w:r>
      <w:r w:rsidR="000D589E">
        <w:t>coal</w:t>
      </w:r>
      <w:r w:rsidR="006A7D1D">
        <w:t xml:space="preserve"> gasification</w:t>
      </w:r>
      <w:r w:rsidR="007C2F99" w:rsidRPr="00722B02">
        <w:t>?</w:t>
      </w:r>
    </w:p>
    <w:p w:rsidR="006A7D1D" w:rsidRDefault="006A7D1D" w:rsidP="00EA70C5">
      <w:pPr>
        <w:pStyle w:val="QRCHeading2"/>
        <w:tabs>
          <w:tab w:val="left" w:pos="9072"/>
        </w:tabs>
        <w:ind w:right="1701"/>
      </w:pPr>
      <w:r>
        <w:t>Coal gasification and Integrated Gasification Combined Cycle (IGCC) are</w:t>
      </w:r>
      <w:r w:rsidRPr="003C420C">
        <w:t xml:space="preserve"> low emission coal-f</w:t>
      </w:r>
      <w:r>
        <w:t>ired power generation technologies</w:t>
      </w:r>
      <w:r w:rsidRPr="003C420C">
        <w:t xml:space="preserve">.  </w:t>
      </w:r>
      <w:r>
        <w:t>The aim of these processes is</w:t>
      </w:r>
      <w:r w:rsidRPr="003C420C">
        <w:t xml:space="preserve"> to generate power with near zero greenhouse gas emissions</w:t>
      </w:r>
      <w:r>
        <w:t>. It is also an important consideration in the future of hydrogen fuelled electricity generation.</w:t>
      </w:r>
    </w:p>
    <w:p w:rsidR="00722B02" w:rsidRDefault="00495F94" w:rsidP="00916D0F">
      <w:pPr>
        <w:tabs>
          <w:tab w:val="left" w:pos="6237"/>
        </w:tabs>
        <w:ind w:right="2789"/>
        <w:rPr>
          <w:color w:val="808080" w:themeColor="background1" w:themeShade="80"/>
          <w:spacing w:val="-20"/>
          <w:sz w:val="28"/>
        </w:rPr>
      </w:pPr>
      <w:r w:rsidRPr="00495F94">
        <w:rPr>
          <w:color w:val="808080" w:themeColor="background1" w:themeShade="80"/>
          <w:spacing w:val="-20"/>
          <w:sz w:val="28"/>
        </w:rPr>
      </w:r>
      <w:r>
        <w:rPr>
          <w:color w:val="808080" w:themeColor="background1" w:themeShade="80"/>
          <w:spacing w:val="-20"/>
          <w:sz w:val="28"/>
        </w:rPr>
        <w:pict>
          <v:rect id="_x0000_s1033" style="width:454.9pt;height:7.15pt;mso-left-percent:-10001;mso-top-percent:-10001;mso-position-horizontal:absolute;mso-position-horizontal-relative:char;mso-position-vertical:absolute;mso-position-vertical-relative:line;mso-left-percent:-10001;mso-top-percent:-10001;mso-width-relative:margin" fillcolor="#d8d8d8 [2732]" stroked="f">
            <v:fill r:id="rId8" o:title="Wide upward diagonal" type="pattern"/>
            <w10:wrap type="none"/>
            <w10:anchorlock/>
          </v:rect>
        </w:pict>
      </w:r>
    </w:p>
    <w:p w:rsidR="000D589E" w:rsidRDefault="000D589E" w:rsidP="000D589E">
      <w:pPr>
        <w:pStyle w:val="QRCNormalBody"/>
        <w:rPr>
          <w:color w:val="51C8E8"/>
          <w:spacing w:val="-20"/>
          <w:sz w:val="28"/>
        </w:rPr>
        <w:sectPr w:rsidR="000D589E" w:rsidSect="00CE0B32">
          <w:footerReference w:type="default" r:id="rId9"/>
          <w:pgSz w:w="11906" w:h="16838"/>
          <w:pgMar w:top="1701" w:right="566" w:bottom="1440" w:left="567" w:header="708" w:footer="708" w:gutter="0"/>
          <w:cols w:space="708"/>
          <w:docGrid w:linePitch="360"/>
        </w:sectPr>
      </w:pPr>
    </w:p>
    <w:p w:rsidR="00EA70C5" w:rsidRDefault="006F7A9E" w:rsidP="00E62738">
      <w:pPr>
        <w:spacing w:line="260" w:lineRule="atLeast"/>
        <w:ind w:right="15"/>
        <w:rPr>
          <w:rStyle w:val="QRCNormalBodyChar"/>
        </w:rPr>
      </w:pPr>
      <w:r>
        <w:rPr>
          <w:noProof/>
          <w:color w:val="51C8E8"/>
          <w:spacing w:val="-20"/>
          <w:sz w:val="28"/>
          <w:lang w:val="en-GB" w:eastAsia="en-GB"/>
        </w:rPr>
        <w:drawing>
          <wp:anchor distT="0" distB="0" distL="114300" distR="114300" simplePos="0" relativeHeight="251660800" behindDoc="1" locked="0" layoutInCell="1" allowOverlap="1">
            <wp:simplePos x="0" y="0"/>
            <wp:positionH relativeFrom="column">
              <wp:posOffset>1905</wp:posOffset>
            </wp:positionH>
            <wp:positionV relativeFrom="paragraph">
              <wp:posOffset>57150</wp:posOffset>
            </wp:positionV>
            <wp:extent cx="4267200" cy="2887980"/>
            <wp:effectExtent l="19050" t="19050" r="19050" b="26670"/>
            <wp:wrapTight wrapText="bothSides">
              <wp:wrapPolygon edited="0">
                <wp:start x="-96" y="-142"/>
                <wp:lineTo x="-96" y="21799"/>
                <wp:lineTo x="21696" y="21799"/>
                <wp:lineTo x="21696" y="-142"/>
                <wp:lineTo x="-96" y="-142"/>
              </wp:wrapPolygon>
            </wp:wrapTight>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l="3091" t="6186" r="13138" b="1289"/>
                    <a:stretch>
                      <a:fillRect/>
                    </a:stretch>
                  </pic:blipFill>
                  <pic:spPr bwMode="auto">
                    <a:xfrm>
                      <a:off x="0" y="0"/>
                      <a:ext cx="4267200" cy="2887980"/>
                    </a:xfrm>
                    <a:prstGeom prst="rect">
                      <a:avLst/>
                    </a:prstGeom>
                    <a:noFill/>
                    <a:ln w="9525">
                      <a:solidFill>
                        <a:schemeClr val="bg1">
                          <a:lumMod val="85000"/>
                        </a:schemeClr>
                      </a:solidFill>
                      <a:miter lim="800000"/>
                      <a:headEnd/>
                      <a:tailEnd/>
                    </a:ln>
                  </pic:spPr>
                </pic:pic>
              </a:graphicData>
            </a:graphic>
          </wp:anchor>
        </w:drawing>
      </w:r>
      <w:r>
        <w:rPr>
          <w:rStyle w:val="QRCHeading3Char"/>
        </w:rPr>
        <w:t>Wha</w:t>
      </w:r>
      <w:r w:rsidR="00E62738">
        <w:rPr>
          <w:rStyle w:val="QRCHeading3Char"/>
        </w:rPr>
        <w:t>t is Gasification</w:t>
      </w:r>
      <w:r w:rsidR="00E62738" w:rsidRPr="00E62738">
        <w:rPr>
          <w:rStyle w:val="QRCHeading3Char"/>
        </w:rPr>
        <w:t>?</w:t>
      </w:r>
      <w:r w:rsidR="00326AA0">
        <w:rPr>
          <w:rStyle w:val="QRCHeading3Char"/>
        </w:rPr>
        <w:br/>
      </w:r>
      <w:r w:rsidR="00E62738" w:rsidRPr="00E62738">
        <w:rPr>
          <w:rStyle w:val="QRCNormalBodyChar"/>
        </w:rPr>
        <w:t xml:space="preserve">Coal gasification is the process of converting coal into a gas by adding steam and oxygen under pressure. The coal is fed into a high-temperature pressurized container along with steam and a limited amount of oxygen to produce a gas. </w:t>
      </w:r>
    </w:p>
    <w:p w:rsidR="00EA70C5" w:rsidRDefault="00EA70C5" w:rsidP="00E62738">
      <w:pPr>
        <w:spacing w:line="260" w:lineRule="atLeast"/>
        <w:ind w:right="15"/>
        <w:rPr>
          <w:rStyle w:val="QRCNormalBodyChar"/>
        </w:rPr>
      </w:pPr>
    </w:p>
    <w:p w:rsidR="00E62738" w:rsidRDefault="00E62738" w:rsidP="00E62738">
      <w:pPr>
        <w:spacing w:line="260" w:lineRule="atLeast"/>
        <w:ind w:right="15"/>
        <w:rPr>
          <w:rStyle w:val="QRCNormalBodyChar"/>
        </w:rPr>
      </w:pPr>
      <w:r w:rsidRPr="00E62738">
        <w:rPr>
          <w:rStyle w:val="QRCNormalBodyChar"/>
        </w:rPr>
        <w:t xml:space="preserve">The gas is known as synthesis gas or syngas and mainly consists of carbon </w:t>
      </w:r>
      <w:r w:rsidR="00EA70C5">
        <w:rPr>
          <w:rStyle w:val="QRCNormalBodyChar"/>
        </w:rPr>
        <w:t>monoxide and hydrogen. The gas i</w:t>
      </w:r>
      <w:r w:rsidRPr="00E62738">
        <w:rPr>
          <w:rStyle w:val="QRCNormalBodyChar"/>
        </w:rPr>
        <w:t>s cooled and undesirable components, such as carbon dioxide and sulphur are removed. The gas can be used as a fuel for electricity in gas turbines or the hydrogen can be combusted in turbines to produce power. The gas can also be further processed and concentrated into a chemical or liquid fuel.</w:t>
      </w:r>
    </w:p>
    <w:p w:rsidR="00453C4E" w:rsidRDefault="00453C4E" w:rsidP="00E62738">
      <w:pPr>
        <w:spacing w:line="260" w:lineRule="atLeast"/>
        <w:ind w:right="15"/>
        <w:rPr>
          <w:rStyle w:val="QRCHeading3Char"/>
        </w:rPr>
        <w:sectPr w:rsidR="00453C4E" w:rsidSect="006F7A9E">
          <w:type w:val="continuous"/>
          <w:pgSz w:w="11906" w:h="16838"/>
          <w:pgMar w:top="1701" w:right="566" w:bottom="1440" w:left="567" w:header="708" w:footer="708" w:gutter="0"/>
          <w:cols w:space="708"/>
          <w:docGrid w:linePitch="360"/>
        </w:sectPr>
      </w:pPr>
    </w:p>
    <w:p w:rsidR="00E62738" w:rsidRPr="00EA70C5" w:rsidRDefault="00AF08EB" w:rsidP="00E62738">
      <w:pPr>
        <w:spacing w:line="260" w:lineRule="atLeast"/>
        <w:ind w:right="15"/>
        <w:rPr>
          <w:color w:val="51C8E8"/>
          <w:spacing w:val="-20"/>
          <w:sz w:val="28"/>
        </w:rPr>
      </w:pPr>
      <w:r>
        <w:rPr>
          <w:noProof/>
          <w:color w:val="51C8E8"/>
          <w:spacing w:val="-20"/>
          <w:sz w:val="28"/>
          <w:lang w:val="en-GB" w:eastAsia="en-GB"/>
        </w:rPr>
        <w:lastRenderedPageBreak/>
        <w:drawing>
          <wp:anchor distT="0" distB="0" distL="114300" distR="114300" simplePos="0" relativeHeight="251662848" behindDoc="0" locked="0" layoutInCell="1" allowOverlap="1">
            <wp:simplePos x="0" y="0"/>
            <wp:positionH relativeFrom="column">
              <wp:posOffset>3611880</wp:posOffset>
            </wp:positionH>
            <wp:positionV relativeFrom="paragraph">
              <wp:posOffset>616585</wp:posOffset>
            </wp:positionV>
            <wp:extent cx="3338830" cy="2228850"/>
            <wp:effectExtent l="19050" t="19050" r="13970" b="19050"/>
            <wp:wrapSquare wrapText="bothSides"/>
            <wp:docPr id="7" name="Picture 3"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
                    <pic:cNvPicPr>
                      <a:picLocks noChangeAspect="1" noChangeArrowheads="1"/>
                    </pic:cNvPicPr>
                  </pic:nvPicPr>
                  <pic:blipFill>
                    <a:blip r:embed="rId11" cstate="print"/>
                    <a:srcRect l="12914" t="12994" r="9009" b="11563"/>
                    <a:stretch>
                      <a:fillRect/>
                    </a:stretch>
                  </pic:blipFill>
                  <pic:spPr bwMode="auto">
                    <a:xfrm>
                      <a:off x="0" y="0"/>
                      <a:ext cx="3338830" cy="2228850"/>
                    </a:xfrm>
                    <a:prstGeom prst="rect">
                      <a:avLst/>
                    </a:prstGeom>
                    <a:noFill/>
                    <a:ln w="9525">
                      <a:solidFill>
                        <a:schemeClr val="bg1">
                          <a:lumMod val="85000"/>
                        </a:schemeClr>
                      </a:solidFill>
                      <a:miter lim="800000"/>
                      <a:headEnd/>
                      <a:tailEnd/>
                    </a:ln>
                  </pic:spPr>
                </pic:pic>
              </a:graphicData>
            </a:graphic>
          </wp:anchor>
        </w:drawing>
      </w:r>
      <w:r w:rsidR="00E62738" w:rsidRPr="00E62738">
        <w:rPr>
          <w:rStyle w:val="QRCHeading3Char"/>
        </w:rPr>
        <w:t>W</w:t>
      </w:r>
      <w:r w:rsidR="00E62738">
        <w:rPr>
          <w:rStyle w:val="QRCHeading3Char"/>
        </w:rPr>
        <w:t>hat is</w:t>
      </w:r>
      <w:r w:rsidR="00E62738" w:rsidRPr="00E62738">
        <w:rPr>
          <w:rStyle w:val="QRCHeading3Char"/>
        </w:rPr>
        <w:t xml:space="preserve"> U</w:t>
      </w:r>
      <w:r w:rsidR="00E62738">
        <w:rPr>
          <w:rStyle w:val="QRCHeading3Char"/>
        </w:rPr>
        <w:t>nderground</w:t>
      </w:r>
      <w:r w:rsidR="00E62738" w:rsidRPr="00E62738">
        <w:rPr>
          <w:rStyle w:val="QRCHeading3Char"/>
        </w:rPr>
        <w:t xml:space="preserve"> C</w:t>
      </w:r>
      <w:r w:rsidR="00E62738">
        <w:rPr>
          <w:rStyle w:val="QRCHeading3Char"/>
        </w:rPr>
        <w:t>oal</w:t>
      </w:r>
      <w:r w:rsidR="00E62738" w:rsidRPr="00E62738">
        <w:rPr>
          <w:rStyle w:val="QRCHeading3Char"/>
        </w:rPr>
        <w:t xml:space="preserve"> G</w:t>
      </w:r>
      <w:r w:rsidR="00E62738">
        <w:rPr>
          <w:rStyle w:val="QRCHeading3Char"/>
        </w:rPr>
        <w:t>asification</w:t>
      </w:r>
      <w:r w:rsidR="00E62738" w:rsidRPr="00E62738">
        <w:rPr>
          <w:rStyle w:val="QRCHeading3Char"/>
        </w:rPr>
        <w:t>?</w:t>
      </w:r>
      <w:r w:rsidR="00E62738" w:rsidRPr="003C420C">
        <w:rPr>
          <w:rFonts w:ascii="Arial" w:eastAsia="Times New Roman" w:hAnsi="Arial" w:cs="Arial"/>
          <w:color w:val="000000"/>
          <w:sz w:val="20"/>
          <w:szCs w:val="20"/>
        </w:rPr>
        <w:br/>
      </w:r>
      <w:r w:rsidR="00E62738" w:rsidRPr="00E62738">
        <w:rPr>
          <w:rStyle w:val="QRCNormalBodyChar"/>
        </w:rPr>
        <w:t>Another method to covert coal to a gaseous state is through Underground Coal Gasification (UCG). In UCG energy from coal can be used in the gasification process without removing the coal from underground. In this process a bore hole is drilled down to the coal seam which is then ignited. Oxygen is fed down another bore hole to feed the combustion. The syngas produced by the burning coal is then forced out a separate bore hole to the surface and processed through the IGCC plant.</w:t>
      </w:r>
    </w:p>
    <w:p w:rsidR="00E62738" w:rsidRDefault="00E62738" w:rsidP="00326AA0">
      <w:pPr>
        <w:pStyle w:val="QRCHeading3"/>
        <w:spacing w:after="0"/>
        <w:rPr>
          <w:color w:val="000000"/>
        </w:rPr>
      </w:pPr>
      <w:r>
        <w:t xml:space="preserve">What is an </w:t>
      </w:r>
      <w:r w:rsidR="00EA70C5">
        <w:t>Integrated</w:t>
      </w:r>
      <w:r>
        <w:t xml:space="preserve"> Gasification Combined Cycle?</w:t>
      </w:r>
      <w:r>
        <w:rPr>
          <w:color w:val="000000"/>
        </w:rPr>
        <w:t xml:space="preserve"> </w:t>
      </w:r>
    </w:p>
    <w:p w:rsidR="00E62738" w:rsidRPr="00453C4E" w:rsidRDefault="00E62738" w:rsidP="00453C4E">
      <w:pPr>
        <w:pStyle w:val="QRCNormalBody"/>
      </w:pPr>
      <w:r>
        <w:t>IGCC</w:t>
      </w:r>
      <w:r w:rsidRPr="003C420C">
        <w:t xml:space="preserve"> systems combine a coal gasification unit with a gas fired combined cycle power generation unit. The first stage is the coal gasification process as mentioned above</w:t>
      </w:r>
      <w:r>
        <w:t>. The second stage takes the cleaned gas and burns it in a conventional gas turbine to produce electrical energy, and the hot exhaust gas is recovered and used to boil water, creating steam for a steam turbine which also produces electrical energy.</w:t>
      </w:r>
      <w:r w:rsidRPr="00203971">
        <w:t xml:space="preserve"> </w:t>
      </w:r>
      <w:r w:rsidRPr="00EA70C5">
        <w:t>In typical plants, about 65% of the electrical energy is produced by the gas turbine and 35% by the steam turbine.</w:t>
      </w:r>
    </w:p>
    <w:p w:rsidR="00453C4E" w:rsidRDefault="00453C4E" w:rsidP="00E62738">
      <w:pPr>
        <w:pStyle w:val="QRCHeading3"/>
      </w:pPr>
    </w:p>
    <w:p w:rsidR="00C96907" w:rsidRDefault="00AF08EB" w:rsidP="00AF08EB">
      <w:pPr>
        <w:pStyle w:val="QRCNormalBody"/>
        <w:jc w:val="center"/>
        <w:rPr>
          <w:color w:val="51C8E8"/>
          <w:sz w:val="18"/>
          <w:szCs w:val="18"/>
        </w:rPr>
      </w:pPr>
      <w:r>
        <w:lastRenderedPageBreak/>
        <w:br/>
      </w:r>
    </w:p>
    <w:p w:rsidR="00453C4E" w:rsidRPr="00AF08EB" w:rsidRDefault="00C96907" w:rsidP="00AF08EB">
      <w:pPr>
        <w:pStyle w:val="QRCNormalBody"/>
        <w:jc w:val="center"/>
        <w:rPr>
          <w:color w:val="51C8E8"/>
          <w:sz w:val="18"/>
          <w:szCs w:val="18"/>
        </w:rPr>
      </w:pPr>
      <w:r>
        <w:rPr>
          <w:color w:val="51C8E8"/>
          <w:sz w:val="18"/>
          <w:szCs w:val="18"/>
        </w:rPr>
        <w:br/>
        <w:t>C</w:t>
      </w:r>
      <w:r w:rsidR="00453C4E" w:rsidRPr="00AF08EB">
        <w:rPr>
          <w:color w:val="51C8E8"/>
          <w:sz w:val="18"/>
          <w:szCs w:val="18"/>
        </w:rPr>
        <w:t>oal gasification (IGCC) Power Plant</w:t>
      </w:r>
      <w:r w:rsidR="00453C4E" w:rsidRPr="00AF08EB">
        <w:rPr>
          <w:color w:val="51C8E8"/>
          <w:sz w:val="18"/>
          <w:szCs w:val="18"/>
        </w:rPr>
        <w:br/>
        <w:t>Image courtesy of Hydrogen Energy International</w:t>
      </w:r>
    </w:p>
    <w:p w:rsidR="00453C4E" w:rsidRDefault="00453C4E" w:rsidP="00E62738">
      <w:pPr>
        <w:pStyle w:val="QRCHeading3"/>
      </w:pPr>
    </w:p>
    <w:p w:rsidR="00453C4E" w:rsidRDefault="00453C4E" w:rsidP="00E62738">
      <w:pPr>
        <w:pStyle w:val="QRCHeading3"/>
      </w:pPr>
    </w:p>
    <w:p w:rsidR="00E62738" w:rsidRDefault="00E62738" w:rsidP="00E62738">
      <w:pPr>
        <w:pStyle w:val="QRCHeading3"/>
      </w:pPr>
      <w:r>
        <w:lastRenderedPageBreak/>
        <w:t>What are the advantages of IGCC?</w:t>
      </w:r>
    </w:p>
    <w:p w:rsidR="00E62738" w:rsidRPr="001974EE" w:rsidRDefault="00E62738" w:rsidP="00E62738">
      <w:pPr>
        <w:pStyle w:val="QRCNormalBody"/>
      </w:pPr>
      <w:r w:rsidRPr="001974EE">
        <w:t>Based on research</w:t>
      </w:r>
      <w:r>
        <w:t>, demonstration, pilot and early commercial plant</w:t>
      </w:r>
      <w:r w:rsidRPr="001974EE">
        <w:t xml:space="preserve"> results</w:t>
      </w:r>
      <w:r>
        <w:t>:</w:t>
      </w:r>
    </w:p>
    <w:p w:rsidR="00E62738" w:rsidRPr="003C420C" w:rsidRDefault="00E62738" w:rsidP="00E62738">
      <w:pPr>
        <w:pStyle w:val="QRCBulletItem"/>
      </w:pPr>
      <w:r w:rsidRPr="003C420C">
        <w:t>50% thermal efficiency</w:t>
      </w:r>
      <w:r>
        <w:t xml:space="preserve"> can be achieved</w:t>
      </w:r>
      <w:r w:rsidRPr="003C420C">
        <w:t xml:space="preserve">. This is a higher efficiency compared to conventional coal power plants meaning there is less coal consumed to produce the same amount of energy, resulting in lower rates of carbon dioxide (CO2) emissions </w:t>
      </w:r>
    </w:p>
    <w:p w:rsidR="00E62738" w:rsidRPr="003C420C" w:rsidRDefault="00E62738" w:rsidP="00E62738">
      <w:pPr>
        <w:pStyle w:val="QRCBulletItem"/>
      </w:pPr>
      <w:r>
        <w:t>H</w:t>
      </w:r>
      <w:r w:rsidRPr="003C420C">
        <w:t>alf the volume of solid wastes</w:t>
      </w:r>
      <w:r>
        <w:t xml:space="preserve"> is produced</w:t>
      </w:r>
      <w:r w:rsidRPr="003C420C">
        <w:t xml:space="preserve"> as a conventional coal power plant. </w:t>
      </w:r>
    </w:p>
    <w:p w:rsidR="00E62738" w:rsidRPr="003C420C" w:rsidRDefault="00E62738" w:rsidP="00E62738">
      <w:pPr>
        <w:pStyle w:val="QRCBulletItem"/>
      </w:pPr>
      <w:r w:rsidRPr="003C420C">
        <w:t>20-50% less water</w:t>
      </w:r>
      <w:r>
        <w:t xml:space="preserve"> is used</w:t>
      </w:r>
      <w:r w:rsidRPr="003C420C">
        <w:t xml:space="preserve"> compared to a conventional coal power station. </w:t>
      </w:r>
    </w:p>
    <w:p w:rsidR="00E62738" w:rsidRPr="003C420C" w:rsidRDefault="00E62738" w:rsidP="00E62738">
      <w:pPr>
        <w:pStyle w:val="QRCBulletItem"/>
      </w:pPr>
      <w:r>
        <w:t>A</w:t>
      </w:r>
      <w:r w:rsidRPr="003C420C">
        <w:t xml:space="preserve"> variety of fuels, like heavy oils, petroleum cokes, and coals</w:t>
      </w:r>
      <w:r>
        <w:t xml:space="preserve"> can be used</w:t>
      </w:r>
      <w:r w:rsidRPr="003C420C">
        <w:t xml:space="preserve">. </w:t>
      </w:r>
    </w:p>
    <w:p w:rsidR="00E62738" w:rsidRPr="003C420C" w:rsidRDefault="00E62738" w:rsidP="00E62738">
      <w:pPr>
        <w:pStyle w:val="QRCBulletItem"/>
      </w:pPr>
      <w:r w:rsidRPr="003C420C">
        <w:t xml:space="preserve">Up to 100% of the carbon dioxide can be captured from IGCC, making the technology suitable for carbon dioxide storage. </w:t>
      </w:r>
    </w:p>
    <w:p w:rsidR="00453C4E" w:rsidRPr="003C420C" w:rsidRDefault="00E62738" w:rsidP="00453C4E">
      <w:pPr>
        <w:pStyle w:val="QRCBulletItem"/>
      </w:pPr>
      <w:r w:rsidRPr="003C420C">
        <w:t xml:space="preserve">A minimum of 95% of the sulphur is removed and this exceeds the performance of most advanced coal-fired generating units currently installed. </w:t>
      </w:r>
    </w:p>
    <w:p w:rsidR="00453C4E" w:rsidRDefault="00E62738" w:rsidP="00E62738">
      <w:pPr>
        <w:pStyle w:val="QRCBulletItem"/>
      </w:pPr>
      <w:r w:rsidRPr="003C420C">
        <w:t>Nitrogen oxides (NOx) emissions are below 50</w:t>
      </w:r>
      <w:r>
        <w:t xml:space="preserve"> </w:t>
      </w:r>
      <w:r w:rsidRPr="003C420C">
        <w:t>p</w:t>
      </w:r>
      <w:r>
        <w:t xml:space="preserve">arts </w:t>
      </w:r>
      <w:r w:rsidRPr="003C420C">
        <w:t>p</w:t>
      </w:r>
      <w:r>
        <w:t xml:space="preserve">er </w:t>
      </w:r>
      <w:r w:rsidRPr="003C420C">
        <w:t>m</w:t>
      </w:r>
      <w:r>
        <w:t>illion</w:t>
      </w:r>
      <w:r w:rsidRPr="003C420C">
        <w:t xml:space="preserve">. This is lower than many of today’s most advanced coal-fired generating units. </w:t>
      </w:r>
    </w:p>
    <w:p w:rsidR="00E62738" w:rsidRDefault="00E62738" w:rsidP="00E62738">
      <w:pPr>
        <w:pStyle w:val="QRCBulletItem"/>
      </w:pPr>
      <w:r>
        <w:t>The syngas produced from the gasifier unit can be burned in a gas turbine for electricity generation or used as a fuel in other applications such as hydrogen powered fuel cells.</w:t>
      </w:r>
    </w:p>
    <w:p w:rsidR="00453C4E" w:rsidRDefault="00453C4E" w:rsidP="00E62738">
      <w:pPr>
        <w:pStyle w:val="QRCHeading3"/>
        <w:rPr>
          <w:rStyle w:val="Strong"/>
          <w:b w:val="0"/>
          <w:bCs w:val="0"/>
          <w:szCs w:val="20"/>
        </w:rPr>
      </w:pPr>
    </w:p>
    <w:p w:rsidR="00E62738" w:rsidRPr="00E62738" w:rsidRDefault="00E62738" w:rsidP="00E62738">
      <w:pPr>
        <w:pStyle w:val="QRCHeading3"/>
        <w:rPr>
          <w:rStyle w:val="Strong"/>
          <w:b w:val="0"/>
          <w:bCs w:val="0"/>
          <w:szCs w:val="20"/>
        </w:rPr>
      </w:pPr>
      <w:r w:rsidRPr="00E62738">
        <w:rPr>
          <w:rStyle w:val="Strong"/>
          <w:b w:val="0"/>
          <w:bCs w:val="0"/>
          <w:szCs w:val="20"/>
        </w:rPr>
        <w:lastRenderedPageBreak/>
        <w:t>W</w:t>
      </w:r>
      <w:r>
        <w:rPr>
          <w:rStyle w:val="Strong"/>
          <w:b w:val="0"/>
          <w:bCs w:val="0"/>
          <w:szCs w:val="20"/>
        </w:rPr>
        <w:t xml:space="preserve">hat are the disadvantages of </w:t>
      </w:r>
      <w:r w:rsidRPr="00E62738">
        <w:rPr>
          <w:rStyle w:val="Strong"/>
          <w:b w:val="0"/>
          <w:bCs w:val="0"/>
          <w:szCs w:val="20"/>
        </w:rPr>
        <w:t>IGCC?</w:t>
      </w:r>
    </w:p>
    <w:p w:rsidR="00E62738" w:rsidRPr="00453C4E" w:rsidRDefault="00E62738" w:rsidP="00453C4E">
      <w:pPr>
        <w:pStyle w:val="QRCBulletItem"/>
        <w:rPr>
          <w:rStyle w:val="Strong"/>
          <w:b w:val="0"/>
          <w:bCs w:val="0"/>
          <w:szCs w:val="20"/>
        </w:rPr>
      </w:pPr>
      <w:r w:rsidRPr="00453C4E">
        <w:rPr>
          <w:rStyle w:val="Strong"/>
          <w:b w:val="0"/>
          <w:bCs w:val="0"/>
          <w:szCs w:val="20"/>
        </w:rPr>
        <w:t>Technology has only been tested on a small scale to date. The technology needs to be proven on a large commercial scale to prove large volumes of greenhouse gases can be managed</w:t>
      </w:r>
    </w:p>
    <w:p w:rsidR="00E62738" w:rsidRPr="00453C4E" w:rsidRDefault="00E62738" w:rsidP="00453C4E">
      <w:pPr>
        <w:pStyle w:val="QRCBulletItem"/>
        <w:rPr>
          <w:rStyle w:val="Strong"/>
          <w:b w:val="0"/>
          <w:bCs w:val="0"/>
          <w:szCs w:val="20"/>
        </w:rPr>
      </w:pPr>
      <w:r w:rsidRPr="00453C4E">
        <w:rPr>
          <w:rStyle w:val="Strong"/>
          <w:b w:val="0"/>
          <w:bCs w:val="0"/>
          <w:szCs w:val="20"/>
        </w:rPr>
        <w:t xml:space="preserve">High cost of plant and equipment </w:t>
      </w:r>
    </w:p>
    <w:p w:rsidR="00E62738" w:rsidRPr="00453C4E" w:rsidRDefault="00E62738" w:rsidP="00453C4E">
      <w:pPr>
        <w:pStyle w:val="QRCBulletItem"/>
        <w:rPr>
          <w:rStyle w:val="Strong"/>
          <w:b w:val="0"/>
          <w:bCs w:val="0"/>
          <w:szCs w:val="20"/>
        </w:rPr>
      </w:pPr>
      <w:r w:rsidRPr="00453C4E">
        <w:rPr>
          <w:rStyle w:val="Strong"/>
          <w:b w:val="0"/>
          <w:bCs w:val="0"/>
          <w:szCs w:val="20"/>
        </w:rPr>
        <w:t>Lack of approved standards and methods for projects</w:t>
      </w:r>
      <w:r w:rsidRPr="00C96907">
        <w:rPr>
          <w:rStyle w:val="Strong"/>
          <w:b w:val="0"/>
          <w:bCs w:val="0"/>
          <w:szCs w:val="20"/>
          <w:vertAlign w:val="superscript"/>
        </w:rPr>
        <w:t>1</w:t>
      </w:r>
      <w:r w:rsidRPr="00453C4E">
        <w:rPr>
          <w:rStyle w:val="Strong"/>
          <w:b w:val="0"/>
          <w:bCs w:val="0"/>
          <w:szCs w:val="20"/>
        </w:rPr>
        <w:t>.</w:t>
      </w:r>
    </w:p>
    <w:p w:rsidR="00E62738" w:rsidRDefault="00E62738" w:rsidP="00E62738">
      <w:pPr>
        <w:pStyle w:val="NormalWeb"/>
        <w:spacing w:before="0" w:beforeAutospacing="0" w:after="0" w:afterAutospacing="0" w:line="260" w:lineRule="atLeast"/>
        <w:ind w:right="15"/>
        <w:rPr>
          <w:rFonts w:ascii="Arial" w:hAnsi="Arial" w:cs="Arial"/>
          <w:color w:val="000000"/>
          <w:sz w:val="20"/>
          <w:szCs w:val="20"/>
        </w:rPr>
      </w:pPr>
    </w:p>
    <w:p w:rsidR="00E62738" w:rsidRDefault="00E62738" w:rsidP="00E62738">
      <w:pPr>
        <w:pStyle w:val="QRCNormalBody"/>
        <w:rPr>
          <w:color w:val="0000FF"/>
          <w:u w:val="single"/>
          <w:lang w:eastAsia="en-AU"/>
        </w:rPr>
      </w:pPr>
      <w:r>
        <w:t xml:space="preserve">For more information also see </w:t>
      </w:r>
      <w:hyperlink r:id="rId12" w:tooltip="Post Combustion Capture" w:history="1">
        <w:r w:rsidRPr="00AF08EB">
          <w:rPr>
            <w:color w:val="DD420C"/>
          </w:rPr>
          <w:t>NewG</w:t>
        </w:r>
        <w:r w:rsidRPr="00AF08EB">
          <w:rPr>
            <w:color w:val="DD420C"/>
          </w:rPr>
          <w:t>e</w:t>
        </w:r>
        <w:r w:rsidRPr="00AF08EB">
          <w:rPr>
            <w:color w:val="DD420C"/>
          </w:rPr>
          <w:t>n</w:t>
        </w:r>
        <w:r w:rsidRPr="00AF08EB">
          <w:rPr>
            <w:color w:val="DD420C"/>
          </w:rPr>
          <w:t>Coal</w:t>
        </w:r>
      </w:hyperlink>
      <w:r>
        <w:t>,</w:t>
      </w:r>
      <w:r w:rsidRPr="001468B0">
        <w:rPr>
          <w:rStyle w:val="Strong"/>
          <w:rFonts w:ascii="Arial" w:hAnsi="Arial" w:cs="Arial"/>
          <w:b w:val="0"/>
          <w:szCs w:val="20"/>
        </w:rPr>
        <w:t xml:space="preserve"> </w:t>
      </w:r>
      <w:hyperlink r:id="rId13" w:history="1">
        <w:r w:rsidRPr="00AF08EB">
          <w:rPr>
            <w:color w:val="DD420C"/>
          </w:rPr>
          <w:t>CSIRO Energy</w:t>
        </w:r>
        <w:r w:rsidR="00AF08EB" w:rsidRPr="00AF08EB">
          <w:rPr>
            <w:color w:val="DD420C"/>
          </w:rPr>
          <w:t>,</w:t>
        </w:r>
        <w:r w:rsidRPr="00AF08EB">
          <w:rPr>
            <w:color w:val="DD420C"/>
          </w:rPr>
          <w:t xml:space="preserve"> Mark Project</w:t>
        </w:r>
      </w:hyperlink>
      <w:r w:rsidRPr="00AF08EB">
        <w:rPr>
          <w:color w:val="DD420C"/>
        </w:rPr>
        <w:t>,</w:t>
      </w:r>
      <w:r w:rsidR="00AF08EB">
        <w:rPr>
          <w:color w:val="DD420C"/>
        </w:rPr>
        <w:t xml:space="preserve"> </w:t>
      </w:r>
      <w:hyperlink r:id="rId14" w:history="1">
        <w:r w:rsidRPr="00AF08EB">
          <w:rPr>
            <w:color w:val="DD420C"/>
          </w:rPr>
          <w:t>Powe</w:t>
        </w:r>
        <w:r w:rsidRPr="00AF08EB">
          <w:rPr>
            <w:color w:val="DD420C"/>
          </w:rPr>
          <w:t>r</w:t>
        </w:r>
        <w:r w:rsidRPr="00AF08EB">
          <w:rPr>
            <w:color w:val="DD420C"/>
          </w:rPr>
          <w:t>Mag</w:t>
        </w:r>
      </w:hyperlink>
      <w:r w:rsidRPr="00AF08EB">
        <w:rPr>
          <w:color w:val="DD420C"/>
        </w:rPr>
        <w:t>,</w:t>
      </w:r>
      <w:r w:rsidR="00AF08EB">
        <w:rPr>
          <w:color w:val="DD420C"/>
        </w:rPr>
        <w:t xml:space="preserve"> </w:t>
      </w:r>
      <w:hyperlink r:id="rId15" w:tooltip="CO2 CRC" w:history="1">
        <w:r w:rsidRPr="00AF08EB">
          <w:rPr>
            <w:color w:val="DD420C"/>
          </w:rPr>
          <w:t>CO2</w:t>
        </w:r>
        <w:r w:rsidRPr="00AF08EB">
          <w:rPr>
            <w:color w:val="DD420C"/>
          </w:rPr>
          <w:t xml:space="preserve"> </w:t>
        </w:r>
        <w:r w:rsidRPr="00AF08EB">
          <w:rPr>
            <w:color w:val="DD420C"/>
          </w:rPr>
          <w:t>C</w:t>
        </w:r>
        <w:r w:rsidRPr="00AF08EB">
          <w:rPr>
            <w:color w:val="DD420C"/>
          </w:rPr>
          <w:t>R</w:t>
        </w:r>
        <w:r w:rsidRPr="00AF08EB">
          <w:rPr>
            <w:color w:val="DD420C"/>
          </w:rPr>
          <w:t>C</w:t>
        </w:r>
      </w:hyperlink>
      <w:r w:rsidRPr="00AF08EB">
        <w:rPr>
          <w:color w:val="DD420C"/>
        </w:rPr>
        <w:t xml:space="preserve">, </w:t>
      </w:r>
      <w:hyperlink r:id="rId16" w:tooltip="Hydrogen Energy International" w:history="1">
        <w:r w:rsidRPr="00AF08EB">
          <w:rPr>
            <w:color w:val="DD420C"/>
          </w:rPr>
          <w:t>Hydroge</w:t>
        </w:r>
        <w:r w:rsidRPr="00AF08EB">
          <w:rPr>
            <w:color w:val="DD420C"/>
          </w:rPr>
          <w:t>n</w:t>
        </w:r>
        <w:r w:rsidRPr="00AF08EB">
          <w:rPr>
            <w:color w:val="DD420C"/>
          </w:rPr>
          <w:t xml:space="preserve"> Energy International</w:t>
        </w:r>
      </w:hyperlink>
      <w:r w:rsidRPr="00AF08EB">
        <w:rPr>
          <w:color w:val="DD420C"/>
        </w:rPr>
        <w:t>.</w:t>
      </w:r>
    </w:p>
    <w:p w:rsidR="00E62738" w:rsidRPr="00453C4E" w:rsidRDefault="00453C4E" w:rsidP="00E62738">
      <w:pPr>
        <w:pStyle w:val="QRCNormalBody"/>
        <w:rPr>
          <w:sz w:val="18"/>
          <w:szCs w:val="18"/>
        </w:rPr>
      </w:pPr>
      <w:r>
        <w:rPr>
          <w:sz w:val="18"/>
          <w:szCs w:val="18"/>
          <w:vertAlign w:val="superscript"/>
        </w:rPr>
        <w:br/>
      </w:r>
      <w:r w:rsidR="00E62738" w:rsidRPr="00453C4E">
        <w:rPr>
          <w:sz w:val="18"/>
          <w:szCs w:val="18"/>
          <w:vertAlign w:val="superscript"/>
        </w:rPr>
        <w:t>1</w:t>
      </w:r>
      <w:r w:rsidR="00E62738" w:rsidRPr="00453C4E">
        <w:rPr>
          <w:sz w:val="18"/>
          <w:szCs w:val="18"/>
        </w:rPr>
        <w:t xml:space="preserve">Queensland Resources Council acknowledges </w:t>
      </w:r>
      <w:hyperlink r:id="rId17" w:tooltip="CO2 CRC" w:history="1">
        <w:r w:rsidR="00E62738" w:rsidRPr="00AF08EB">
          <w:rPr>
            <w:color w:val="DD420C"/>
          </w:rPr>
          <w:t xml:space="preserve">CO2 </w:t>
        </w:r>
        <w:r w:rsidR="00E62738" w:rsidRPr="00AF08EB">
          <w:rPr>
            <w:color w:val="DD420C"/>
          </w:rPr>
          <w:t>C</w:t>
        </w:r>
        <w:r w:rsidR="00E62738" w:rsidRPr="00AF08EB">
          <w:rPr>
            <w:color w:val="DD420C"/>
          </w:rPr>
          <w:t>RC</w:t>
        </w:r>
      </w:hyperlink>
      <w:r w:rsidR="00E62738" w:rsidRPr="00453C4E">
        <w:rPr>
          <w:sz w:val="18"/>
          <w:szCs w:val="18"/>
        </w:rPr>
        <w:t xml:space="preserve"> as the copyright holders of the Zero Emissions City of the Future (ZETS) resource pack used as a source for this information.</w:t>
      </w:r>
    </w:p>
    <w:p w:rsidR="00453C4E" w:rsidRDefault="00453C4E" w:rsidP="00453C4E">
      <w:pPr>
        <w:pStyle w:val="QRCBulletTitle"/>
        <w:jc w:val="right"/>
      </w:pPr>
    </w:p>
    <w:p w:rsidR="00AF08EB" w:rsidRDefault="00AF08EB" w:rsidP="00AF08EB">
      <w:pPr>
        <w:pStyle w:val="QRCBulletTitle"/>
        <w:jc w:val="right"/>
      </w:pPr>
    </w:p>
    <w:p w:rsidR="00AF08EB" w:rsidRDefault="00AF08EB" w:rsidP="00AF08EB">
      <w:pPr>
        <w:pStyle w:val="QRCBulletTitle"/>
        <w:jc w:val="right"/>
      </w:pPr>
    </w:p>
    <w:p w:rsidR="00AF08EB" w:rsidRDefault="00AF08EB" w:rsidP="00AF08EB">
      <w:pPr>
        <w:pStyle w:val="QRCBulletTitle"/>
        <w:jc w:val="right"/>
      </w:pPr>
    </w:p>
    <w:p w:rsidR="00E62738" w:rsidRDefault="00E62738" w:rsidP="00AF08EB">
      <w:pPr>
        <w:pStyle w:val="QRCBulletTitle"/>
        <w:jc w:val="right"/>
      </w:pPr>
      <w:r>
        <w:t>Last updated February 2010.</w:t>
      </w:r>
    </w:p>
    <w:p w:rsidR="00453C4E" w:rsidRDefault="00453C4E" w:rsidP="00E62738">
      <w:pPr>
        <w:pStyle w:val="QRCNormalBody"/>
        <w:rPr>
          <w:lang w:eastAsia="zh-TW"/>
        </w:rPr>
      </w:pPr>
    </w:p>
    <w:p w:rsidR="00453C4E" w:rsidRDefault="00453C4E" w:rsidP="00E62738">
      <w:pPr>
        <w:pStyle w:val="QRCNormalBody"/>
        <w:rPr>
          <w:lang w:eastAsia="zh-TW"/>
        </w:rPr>
      </w:pPr>
    </w:p>
    <w:p w:rsidR="00453C4E" w:rsidRDefault="00453C4E" w:rsidP="00E62738">
      <w:pPr>
        <w:pStyle w:val="QRCNormalBody"/>
        <w:rPr>
          <w:lang w:eastAsia="zh-TW"/>
        </w:rPr>
        <w:sectPr w:rsidR="00453C4E" w:rsidSect="00453C4E">
          <w:type w:val="continuous"/>
          <w:pgSz w:w="11906" w:h="16838"/>
          <w:pgMar w:top="1701" w:right="566" w:bottom="1440" w:left="567" w:header="708" w:footer="708" w:gutter="0"/>
          <w:cols w:num="2" w:space="708"/>
          <w:docGrid w:linePitch="360"/>
        </w:sectPr>
      </w:pPr>
    </w:p>
    <w:p w:rsidR="00453C4E" w:rsidRDefault="00453C4E" w:rsidP="00453C4E">
      <w:pPr>
        <w:pStyle w:val="QRCBulletItem"/>
        <w:numPr>
          <w:ilvl w:val="0"/>
          <w:numId w:val="0"/>
        </w:numPr>
        <w:ind w:left="641"/>
        <w:sectPr w:rsidR="00453C4E" w:rsidSect="00EA70C5">
          <w:type w:val="continuous"/>
          <w:pgSz w:w="11906" w:h="16838"/>
          <w:pgMar w:top="1701" w:right="566" w:bottom="1440" w:left="567" w:header="708" w:footer="708" w:gutter="0"/>
          <w:cols w:space="708"/>
          <w:docGrid w:linePitch="360"/>
        </w:sectPr>
      </w:pPr>
    </w:p>
    <w:p w:rsidR="00E62738" w:rsidRDefault="00E62738" w:rsidP="000D589E">
      <w:pPr>
        <w:pStyle w:val="QRCNormalBody"/>
      </w:pPr>
    </w:p>
    <w:p w:rsidR="00E62738" w:rsidRDefault="00E62738" w:rsidP="000D589E">
      <w:pPr>
        <w:pStyle w:val="QRCNormalBody"/>
      </w:pPr>
    </w:p>
    <w:sectPr w:rsidR="00E62738" w:rsidSect="00EA70C5">
      <w:type w:val="continuous"/>
      <w:pgSz w:w="11906" w:h="16838"/>
      <w:pgMar w:top="1701" w:right="566" w:bottom="1440" w:left="567"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C4E" w:rsidRDefault="00453C4E" w:rsidP="00C27A1F">
      <w:r>
        <w:separator/>
      </w:r>
    </w:p>
  </w:endnote>
  <w:endnote w:type="continuationSeparator" w:id="0">
    <w:p w:rsidR="00453C4E" w:rsidRDefault="00453C4E" w:rsidP="00C27A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C4E" w:rsidRDefault="00453C4E">
    <w:pPr>
      <w:pStyle w:val="Footer"/>
    </w:pPr>
    <w:r w:rsidRPr="00495F94">
      <w:rPr>
        <w:noProof/>
        <w:lang w:eastAsia="en-AU"/>
      </w:rPr>
      <w:pict>
        <v:shapetype id="_x0000_t202" coordsize="21600,21600" o:spt="202" path="m,l,21600r21600,l21600,xe">
          <v:stroke joinstyle="miter"/>
          <v:path gradientshapeok="t" o:connecttype="rect"/>
        </v:shapetype>
        <v:shape id="_x0000_s2054" type="#_x0000_t202" style="position:absolute;margin-left:-14.45pt;margin-top:4.45pt;width:565.1pt;height:35.8pt;z-index:251662336" filled="f" stroked="f">
          <v:textbox style="mso-next-textbox:#_x0000_s2054">
            <w:txbxContent>
              <w:p w:rsidR="00453C4E" w:rsidRPr="00916D0F" w:rsidRDefault="00453C4E" w:rsidP="00E71496">
                <w:pPr>
                  <w:jc w:val="center"/>
                  <w:rPr>
                    <w:b/>
                    <w:color w:val="CAC1B9"/>
                    <w:sz w:val="12"/>
                    <w:lang w:val="en-GB"/>
                  </w:rPr>
                </w:pPr>
                <w:r w:rsidRPr="00916D0F">
                  <w:rPr>
                    <w:b/>
                    <w:color w:val="CAC1B9"/>
                    <w:sz w:val="12"/>
                    <w:lang w:val="en-GB"/>
                  </w:rPr>
                  <w:t>OresomeResources - Queensland Resources Council - Minerals and Energy Education</w:t>
                </w:r>
              </w:p>
              <w:p w:rsidR="00453C4E" w:rsidRPr="00916D0F" w:rsidRDefault="00453C4E" w:rsidP="00E71496">
                <w:pPr>
                  <w:jc w:val="center"/>
                  <w:rPr>
                    <w:b/>
                    <w:color w:val="CAC1B9"/>
                    <w:sz w:val="12"/>
                    <w:lang w:val="en-GB"/>
                  </w:rPr>
                </w:pPr>
                <w:r w:rsidRPr="00916D0F">
                  <w:rPr>
                    <w:color w:val="CAC1B9"/>
                    <w:sz w:val="12"/>
                    <w:lang w:val="en-GB"/>
                  </w:rPr>
                  <w:t>T</w:t>
                </w:r>
                <w:r w:rsidRPr="00916D0F">
                  <w:rPr>
                    <w:b/>
                    <w:color w:val="CAC1B9"/>
                    <w:sz w:val="12"/>
                    <w:lang w:val="en-GB"/>
                  </w:rPr>
                  <w:t xml:space="preserve"> (07) 3295 9560 </w:t>
                </w:r>
                <w:r w:rsidRPr="00916D0F">
                  <w:rPr>
                    <w:color w:val="CAC1B9"/>
                    <w:sz w:val="12"/>
                    <w:lang w:val="en-GB"/>
                  </w:rPr>
                  <w:t>F</w:t>
                </w:r>
                <w:r w:rsidRPr="00916D0F">
                  <w:rPr>
                    <w:b/>
                    <w:color w:val="CAC1B9"/>
                    <w:sz w:val="12"/>
                    <w:lang w:val="en-GB"/>
                  </w:rPr>
                  <w:t xml:space="preserve"> (07) 3295 9570</w:t>
                </w:r>
              </w:p>
              <w:p w:rsidR="00453C4E" w:rsidRPr="00916D0F" w:rsidRDefault="00453C4E" w:rsidP="00E71496">
                <w:pPr>
                  <w:jc w:val="center"/>
                  <w:rPr>
                    <w:color w:val="CAC1B9"/>
                    <w:sz w:val="12"/>
                    <w:lang w:val="en-GB"/>
                  </w:rPr>
                </w:pPr>
                <w:r w:rsidRPr="00916D0F">
                  <w:rPr>
                    <w:color w:val="CAC1B9"/>
                    <w:sz w:val="12"/>
                    <w:lang w:val="en-GB"/>
                  </w:rPr>
                  <w:t xml:space="preserve">Level 13 133 Mary St Brisbane, Queensland 4000 – </w:t>
                </w:r>
                <w:hyperlink r:id="rId1" w:history="1">
                  <w:r w:rsidRPr="00916D0F">
                    <w:rPr>
                      <w:rStyle w:val="Hyperlink"/>
                      <w:color w:val="CAC1B9"/>
                      <w:sz w:val="12"/>
                      <w:lang w:val="en-GB"/>
                    </w:rPr>
                    <w:t>www.oresomeresources.com</w:t>
                  </w:r>
                </w:hyperlink>
              </w:p>
              <w:p w:rsidR="00453C4E" w:rsidRPr="00916D0F" w:rsidRDefault="00453C4E" w:rsidP="00E71496">
                <w:pPr>
                  <w:jc w:val="center"/>
                  <w:rPr>
                    <w:b/>
                    <w:color w:val="CAC1B9"/>
                    <w:sz w:val="12"/>
                  </w:rPr>
                </w:pPr>
              </w:p>
            </w:txbxContent>
          </v:textbox>
        </v:shape>
      </w:pict>
    </w:r>
    <w:r w:rsidRPr="00C27A1F">
      <w:rPr>
        <w:noProof/>
        <w:lang w:val="en-GB" w:eastAsia="en-GB"/>
      </w:rPr>
      <w:drawing>
        <wp:anchor distT="0" distB="0" distL="114300" distR="114300" simplePos="0" relativeHeight="251659264" behindDoc="1" locked="1" layoutInCell="1" allowOverlap="1">
          <wp:simplePos x="0" y="0"/>
          <wp:positionH relativeFrom="page">
            <wp:posOffset>0</wp:posOffset>
          </wp:positionH>
          <wp:positionV relativeFrom="page">
            <wp:posOffset>0</wp:posOffset>
          </wp:positionV>
          <wp:extent cx="7558405" cy="10690860"/>
          <wp:effectExtent l="19050" t="0" r="4445" b="0"/>
          <wp:wrapNone/>
          <wp:docPr id="6" name="Picture 0" descr="bg-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design.jpg"/>
                  <pic:cNvPicPr/>
                </pic:nvPicPr>
                <pic:blipFill>
                  <a:blip r:embed="rId2"/>
                  <a:stretch>
                    <a:fillRect/>
                  </a:stretch>
                </pic:blipFill>
                <pic:spPr>
                  <a:xfrm>
                    <a:off x="0" y="0"/>
                    <a:ext cx="7558405" cy="1069086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C4E" w:rsidRDefault="00453C4E" w:rsidP="00C27A1F">
      <w:r>
        <w:separator/>
      </w:r>
    </w:p>
  </w:footnote>
  <w:footnote w:type="continuationSeparator" w:id="0">
    <w:p w:rsidR="00453C4E" w:rsidRDefault="00453C4E" w:rsidP="00C27A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24pt;height:24pt" o:bullet="t">
        <v:imagedata r:id="rId1" o:title="bullet"/>
      </v:shape>
    </w:pict>
  </w:numPicBullet>
  <w:abstractNum w:abstractNumId="0">
    <w:nsid w:val="074D4D2B"/>
    <w:multiLevelType w:val="hybridMultilevel"/>
    <w:tmpl w:val="80FA7886"/>
    <w:lvl w:ilvl="0" w:tplc="4674593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75300F"/>
    <w:multiLevelType w:val="hybridMultilevel"/>
    <w:tmpl w:val="EF5AD548"/>
    <w:lvl w:ilvl="0" w:tplc="FDA07486">
      <w:start w:val="1"/>
      <w:numFmt w:val="bullet"/>
      <w:pStyle w:val="QRCBulletItem"/>
      <w:lvlText w:val=""/>
      <w:lvlPicBulletId w:val="0"/>
      <w:lvlJc w:val="left"/>
      <w:pPr>
        <w:ind w:left="1145" w:hanging="360"/>
      </w:pPr>
      <w:rPr>
        <w:rFonts w:ascii="Symbol" w:hAnsi="Symbol" w:hint="default"/>
        <w:color w:val="auto"/>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
    <w:nsid w:val="37253EF1"/>
    <w:multiLevelType w:val="hybridMultilevel"/>
    <w:tmpl w:val="D788033A"/>
    <w:lvl w:ilvl="0" w:tplc="4674593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6">
      <o:colormenu v:ext="edit" fillcolor="none" strokecolor="none"/>
    </o:shapedefaults>
    <o:shapelayout v:ext="edit">
      <o:idmap v:ext="edit" data="2"/>
    </o:shapelayout>
  </w:hdrShapeDefaults>
  <w:footnotePr>
    <w:footnote w:id="-1"/>
    <w:footnote w:id="0"/>
  </w:footnotePr>
  <w:endnotePr>
    <w:endnote w:id="-1"/>
    <w:endnote w:id="0"/>
  </w:endnotePr>
  <w:compat/>
  <w:rsids>
    <w:rsidRoot w:val="009D1A66"/>
    <w:rsid w:val="000D589E"/>
    <w:rsid w:val="000D7546"/>
    <w:rsid w:val="00153429"/>
    <w:rsid w:val="00187635"/>
    <w:rsid w:val="001E677E"/>
    <w:rsid w:val="00293B8E"/>
    <w:rsid w:val="00296922"/>
    <w:rsid w:val="002B1D76"/>
    <w:rsid w:val="002C4479"/>
    <w:rsid w:val="00312DFC"/>
    <w:rsid w:val="00326AA0"/>
    <w:rsid w:val="0033337D"/>
    <w:rsid w:val="00340838"/>
    <w:rsid w:val="00453C4E"/>
    <w:rsid w:val="004802A5"/>
    <w:rsid w:val="00495F94"/>
    <w:rsid w:val="004A65B9"/>
    <w:rsid w:val="00504D01"/>
    <w:rsid w:val="00582DB3"/>
    <w:rsid w:val="0062123F"/>
    <w:rsid w:val="006256F5"/>
    <w:rsid w:val="006A7D1D"/>
    <w:rsid w:val="006F5777"/>
    <w:rsid w:val="006F7A9E"/>
    <w:rsid w:val="00722B02"/>
    <w:rsid w:val="007669E7"/>
    <w:rsid w:val="00775C9A"/>
    <w:rsid w:val="007C2F99"/>
    <w:rsid w:val="00861224"/>
    <w:rsid w:val="00916D0F"/>
    <w:rsid w:val="009A5577"/>
    <w:rsid w:val="009D1A66"/>
    <w:rsid w:val="009D30D5"/>
    <w:rsid w:val="00A25F5C"/>
    <w:rsid w:val="00A30361"/>
    <w:rsid w:val="00A7131A"/>
    <w:rsid w:val="00A804E1"/>
    <w:rsid w:val="00AB5EAE"/>
    <w:rsid w:val="00AE57A4"/>
    <w:rsid w:val="00AF08EB"/>
    <w:rsid w:val="00B51B28"/>
    <w:rsid w:val="00BE1F8A"/>
    <w:rsid w:val="00C215E5"/>
    <w:rsid w:val="00C27A1F"/>
    <w:rsid w:val="00C56BB8"/>
    <w:rsid w:val="00C877E0"/>
    <w:rsid w:val="00C96907"/>
    <w:rsid w:val="00CE0B32"/>
    <w:rsid w:val="00CF5D75"/>
    <w:rsid w:val="00D47A77"/>
    <w:rsid w:val="00DC3E03"/>
    <w:rsid w:val="00DC59A7"/>
    <w:rsid w:val="00E5673B"/>
    <w:rsid w:val="00E62738"/>
    <w:rsid w:val="00E71496"/>
    <w:rsid w:val="00E7421E"/>
    <w:rsid w:val="00EA0470"/>
    <w:rsid w:val="00EA70C5"/>
    <w:rsid w:val="00F0772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71496"/>
    <w:pPr>
      <w:spacing w:after="0" w:line="240" w:lineRule="auto"/>
    </w:pPr>
    <w:rPr>
      <w:rFonts w:ascii="Calibri" w:hAnsi="Calibri" w:cs="Calibri"/>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1A66"/>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9D1A66"/>
    <w:rPr>
      <w:rFonts w:ascii="Tahoma" w:hAnsi="Tahoma" w:cs="Tahoma"/>
      <w:sz w:val="16"/>
      <w:szCs w:val="16"/>
    </w:rPr>
  </w:style>
  <w:style w:type="paragraph" w:styleId="Header">
    <w:name w:val="header"/>
    <w:basedOn w:val="Normal"/>
    <w:link w:val="HeaderChar"/>
    <w:uiPriority w:val="99"/>
    <w:semiHidden/>
    <w:unhideWhenUsed/>
    <w:rsid w:val="00C27A1F"/>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semiHidden/>
    <w:rsid w:val="00C27A1F"/>
  </w:style>
  <w:style w:type="paragraph" w:styleId="Footer">
    <w:name w:val="footer"/>
    <w:basedOn w:val="Normal"/>
    <w:link w:val="FooterChar"/>
    <w:uiPriority w:val="99"/>
    <w:semiHidden/>
    <w:unhideWhenUsed/>
    <w:rsid w:val="00C27A1F"/>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semiHidden/>
    <w:rsid w:val="00C27A1F"/>
  </w:style>
  <w:style w:type="paragraph" w:styleId="ListParagraph">
    <w:name w:val="List Paragraph"/>
    <w:basedOn w:val="Normal"/>
    <w:link w:val="ListParagraphChar"/>
    <w:uiPriority w:val="34"/>
    <w:qFormat/>
    <w:rsid w:val="004802A5"/>
    <w:pPr>
      <w:spacing w:after="200" w:line="276" w:lineRule="auto"/>
      <w:ind w:left="720"/>
      <w:contextualSpacing/>
    </w:pPr>
    <w:rPr>
      <w:rFonts w:asciiTheme="minorHAnsi" w:hAnsiTheme="minorHAnsi" w:cstheme="minorBidi"/>
      <w:lang w:eastAsia="en-US"/>
    </w:rPr>
  </w:style>
  <w:style w:type="paragraph" w:customStyle="1" w:styleId="QRCHeading1">
    <w:name w:val="QRC Heading 1"/>
    <w:basedOn w:val="Normal"/>
    <w:link w:val="QRCHeading1Char"/>
    <w:rsid w:val="00916D0F"/>
    <w:pPr>
      <w:spacing w:after="200" w:line="276" w:lineRule="auto"/>
    </w:pPr>
    <w:rPr>
      <w:noProof/>
      <w:color w:val="DD420C"/>
      <w:spacing w:val="-20"/>
      <w:sz w:val="36"/>
    </w:rPr>
  </w:style>
  <w:style w:type="paragraph" w:customStyle="1" w:styleId="QRCHeading2">
    <w:name w:val="QRC Heading 2"/>
    <w:basedOn w:val="Normal"/>
    <w:link w:val="QRCHeading2Char"/>
    <w:qFormat/>
    <w:rsid w:val="00916D0F"/>
    <w:pPr>
      <w:tabs>
        <w:tab w:val="left" w:pos="6237"/>
      </w:tabs>
      <w:spacing w:after="200"/>
      <w:ind w:right="2552"/>
    </w:pPr>
    <w:rPr>
      <w:color w:val="808080" w:themeColor="background1" w:themeShade="80"/>
      <w:spacing w:val="-20"/>
      <w:sz w:val="28"/>
      <w:lang w:eastAsia="en-US"/>
    </w:rPr>
  </w:style>
  <w:style w:type="character" w:customStyle="1" w:styleId="QRCHeading1Char">
    <w:name w:val="QRC Heading 1 Char"/>
    <w:basedOn w:val="DefaultParagraphFont"/>
    <w:link w:val="QRCHeading1"/>
    <w:rsid w:val="00916D0F"/>
    <w:rPr>
      <w:rFonts w:ascii="Calibri" w:hAnsi="Calibri" w:cs="Calibri"/>
      <w:noProof/>
      <w:color w:val="DD420C"/>
      <w:spacing w:val="-20"/>
      <w:sz w:val="36"/>
      <w:lang w:eastAsia="en-AU"/>
    </w:rPr>
  </w:style>
  <w:style w:type="paragraph" w:customStyle="1" w:styleId="QRCHeading3">
    <w:name w:val="QRC Heading 3"/>
    <w:basedOn w:val="Normal"/>
    <w:link w:val="QRCHeading3Char"/>
    <w:qFormat/>
    <w:rsid w:val="00DC3E03"/>
    <w:pPr>
      <w:tabs>
        <w:tab w:val="left" w:pos="8505"/>
      </w:tabs>
      <w:spacing w:before="240" w:after="200"/>
    </w:pPr>
    <w:rPr>
      <w:color w:val="51C8E8"/>
      <w:spacing w:val="-20"/>
      <w:sz w:val="28"/>
      <w:lang w:eastAsia="en-US"/>
    </w:rPr>
  </w:style>
  <w:style w:type="character" w:customStyle="1" w:styleId="QRCHeading2Char">
    <w:name w:val="QRC Heading 2 Char"/>
    <w:basedOn w:val="DefaultParagraphFont"/>
    <w:link w:val="QRCHeading2"/>
    <w:rsid w:val="00916D0F"/>
    <w:rPr>
      <w:rFonts w:ascii="Calibri" w:hAnsi="Calibri" w:cs="Calibri"/>
      <w:color w:val="808080" w:themeColor="background1" w:themeShade="80"/>
      <w:spacing w:val="-20"/>
      <w:sz w:val="28"/>
    </w:rPr>
  </w:style>
  <w:style w:type="paragraph" w:customStyle="1" w:styleId="QRCNormalBody">
    <w:name w:val="QRC Normal Body"/>
    <w:basedOn w:val="Normal"/>
    <w:link w:val="QRCNormalBodyChar"/>
    <w:qFormat/>
    <w:rsid w:val="00DC3E03"/>
    <w:pPr>
      <w:tabs>
        <w:tab w:val="left" w:pos="8505"/>
      </w:tabs>
      <w:spacing w:after="200"/>
    </w:pPr>
    <w:rPr>
      <w:color w:val="808080" w:themeColor="background1" w:themeShade="80"/>
      <w:sz w:val="20"/>
      <w:lang w:eastAsia="en-US"/>
    </w:rPr>
  </w:style>
  <w:style w:type="character" w:customStyle="1" w:styleId="QRCHeading3Char">
    <w:name w:val="QRC Heading 3 Char"/>
    <w:basedOn w:val="DefaultParagraphFont"/>
    <w:link w:val="QRCHeading3"/>
    <w:rsid w:val="00DC3E03"/>
    <w:rPr>
      <w:rFonts w:ascii="Calibri" w:hAnsi="Calibri" w:cs="Calibri"/>
      <w:color w:val="51C8E8"/>
      <w:spacing w:val="-20"/>
      <w:sz w:val="28"/>
    </w:rPr>
  </w:style>
  <w:style w:type="paragraph" w:customStyle="1" w:styleId="QRCBulletTitle">
    <w:name w:val="QRC Bullet Title"/>
    <w:basedOn w:val="Normal"/>
    <w:link w:val="QRCBulletTitleChar"/>
    <w:qFormat/>
    <w:rsid w:val="00DC3E03"/>
    <w:pPr>
      <w:tabs>
        <w:tab w:val="left" w:pos="8505"/>
      </w:tabs>
      <w:spacing w:after="200"/>
    </w:pPr>
    <w:rPr>
      <w:b/>
      <w:color w:val="808080" w:themeColor="background1" w:themeShade="80"/>
      <w:sz w:val="20"/>
      <w:lang w:eastAsia="en-US"/>
    </w:rPr>
  </w:style>
  <w:style w:type="character" w:customStyle="1" w:styleId="QRCNormalBodyChar">
    <w:name w:val="QRC Normal Body Char"/>
    <w:basedOn w:val="DefaultParagraphFont"/>
    <w:link w:val="QRCNormalBody"/>
    <w:rsid w:val="00DC3E03"/>
    <w:rPr>
      <w:rFonts w:ascii="Calibri" w:hAnsi="Calibri" w:cs="Calibri"/>
      <w:color w:val="808080" w:themeColor="background1" w:themeShade="80"/>
      <w:sz w:val="20"/>
    </w:rPr>
  </w:style>
  <w:style w:type="paragraph" w:customStyle="1" w:styleId="QRCBulletItem">
    <w:name w:val="QRC Bullet Item"/>
    <w:basedOn w:val="ListParagraph"/>
    <w:link w:val="QRCBulletItemChar"/>
    <w:qFormat/>
    <w:rsid w:val="00DC3E03"/>
    <w:pPr>
      <w:numPr>
        <w:numId w:val="1"/>
      </w:numPr>
      <w:tabs>
        <w:tab w:val="left" w:pos="8505"/>
      </w:tabs>
      <w:spacing w:after="0" w:line="240" w:lineRule="auto"/>
      <w:ind w:left="641" w:hanging="357"/>
    </w:pPr>
    <w:rPr>
      <w:rFonts w:ascii="Calibri" w:hAnsi="Calibri" w:cs="Calibri"/>
      <w:color w:val="808080" w:themeColor="background1" w:themeShade="80"/>
      <w:sz w:val="20"/>
    </w:rPr>
  </w:style>
  <w:style w:type="character" w:customStyle="1" w:styleId="QRCBulletTitleChar">
    <w:name w:val="QRC Bullet Title Char"/>
    <w:basedOn w:val="DefaultParagraphFont"/>
    <w:link w:val="QRCBulletTitle"/>
    <w:rsid w:val="00DC3E03"/>
    <w:rPr>
      <w:rFonts w:ascii="Calibri" w:hAnsi="Calibri" w:cs="Calibri"/>
      <w:b/>
      <w:color w:val="808080" w:themeColor="background1" w:themeShade="80"/>
      <w:sz w:val="20"/>
    </w:rPr>
  </w:style>
  <w:style w:type="character" w:styleId="Hyperlink">
    <w:name w:val="Hyperlink"/>
    <w:basedOn w:val="DefaultParagraphFont"/>
    <w:uiPriority w:val="99"/>
    <w:semiHidden/>
    <w:unhideWhenUsed/>
    <w:rsid w:val="00E71496"/>
    <w:rPr>
      <w:color w:val="0000FF"/>
      <w:u w:val="single"/>
    </w:rPr>
  </w:style>
  <w:style w:type="character" w:customStyle="1" w:styleId="ListParagraphChar">
    <w:name w:val="List Paragraph Char"/>
    <w:basedOn w:val="DefaultParagraphFont"/>
    <w:link w:val="ListParagraph"/>
    <w:uiPriority w:val="34"/>
    <w:rsid w:val="00E5673B"/>
  </w:style>
  <w:style w:type="character" w:customStyle="1" w:styleId="QRCBulletItemChar">
    <w:name w:val="QRC Bullet Item Char"/>
    <w:basedOn w:val="ListParagraphChar"/>
    <w:link w:val="QRCBulletItem"/>
    <w:rsid w:val="00DC3E03"/>
    <w:rPr>
      <w:rFonts w:ascii="Calibri" w:hAnsi="Calibri" w:cs="Calibri"/>
      <w:color w:val="808080" w:themeColor="background1" w:themeShade="80"/>
      <w:sz w:val="20"/>
    </w:rPr>
  </w:style>
  <w:style w:type="paragraph" w:customStyle="1" w:styleId="QRCTopHeading">
    <w:name w:val="QRC Top Heading"/>
    <w:basedOn w:val="Normal"/>
    <w:link w:val="QRCTopHeadingChar"/>
    <w:qFormat/>
    <w:rsid w:val="002C4479"/>
    <w:rPr>
      <w:color w:val="404040" w:themeColor="text1" w:themeTint="BF"/>
      <w:spacing w:val="-20"/>
      <w:sz w:val="32"/>
    </w:rPr>
  </w:style>
  <w:style w:type="character" w:customStyle="1" w:styleId="QRCTopHeadingChar">
    <w:name w:val="QRC Top Heading Char"/>
    <w:basedOn w:val="DefaultParagraphFont"/>
    <w:link w:val="QRCTopHeading"/>
    <w:rsid w:val="002C4479"/>
    <w:rPr>
      <w:rFonts w:ascii="Calibri" w:hAnsi="Calibri" w:cs="Calibri"/>
      <w:color w:val="404040" w:themeColor="text1" w:themeTint="BF"/>
      <w:spacing w:val="-20"/>
      <w:sz w:val="32"/>
      <w:lang w:eastAsia="en-AU"/>
    </w:rPr>
  </w:style>
  <w:style w:type="character" w:styleId="FollowedHyperlink">
    <w:name w:val="FollowedHyperlink"/>
    <w:basedOn w:val="DefaultParagraphFont"/>
    <w:uiPriority w:val="99"/>
    <w:semiHidden/>
    <w:unhideWhenUsed/>
    <w:rsid w:val="00C877E0"/>
    <w:rPr>
      <w:color w:val="800080" w:themeColor="followedHyperlink"/>
      <w:u w:val="single"/>
    </w:rPr>
  </w:style>
  <w:style w:type="paragraph" w:styleId="NoSpacing">
    <w:name w:val="No Spacing"/>
    <w:uiPriority w:val="1"/>
    <w:qFormat/>
    <w:rsid w:val="00E62738"/>
    <w:pPr>
      <w:spacing w:after="0" w:line="240" w:lineRule="auto"/>
    </w:pPr>
    <w:rPr>
      <w:rFonts w:ascii="Calibri" w:eastAsia="Calibri" w:hAnsi="Calibri" w:cs="Times New Roman"/>
      <w:lang w:val="en-GB"/>
    </w:rPr>
  </w:style>
  <w:style w:type="character" w:styleId="Strong">
    <w:name w:val="Strong"/>
    <w:basedOn w:val="DefaultParagraphFont"/>
    <w:uiPriority w:val="22"/>
    <w:qFormat/>
    <w:rsid w:val="00E62738"/>
    <w:rPr>
      <w:b/>
      <w:bCs/>
    </w:rPr>
  </w:style>
  <w:style w:type="paragraph" w:styleId="NormalWeb">
    <w:name w:val="Normal (Web)"/>
    <w:basedOn w:val="Normal"/>
    <w:uiPriority w:val="99"/>
    <w:unhideWhenUsed/>
    <w:rsid w:val="00E62738"/>
    <w:pPr>
      <w:spacing w:before="100" w:beforeAutospacing="1" w:after="100" w:afterAutospacing="1"/>
    </w:pPr>
    <w:rPr>
      <w:rFonts w:ascii="Times New Roman" w:eastAsia="Times New Roman" w:hAnsi="Times New Roman" w:cs="Times New Roman"/>
      <w:sz w:val="24"/>
      <w:szCs w:val="24"/>
      <w:lang w:val="en-GB" w:eastAsia="zh-TW"/>
    </w:rPr>
  </w:style>
</w:styles>
</file>

<file path=word/webSettings.xml><?xml version="1.0" encoding="utf-8"?>
<w:webSettings xmlns:r="http://schemas.openxmlformats.org/officeDocument/2006/relationships" xmlns:w="http://schemas.openxmlformats.org/wordprocessingml/2006/main">
  <w:divs>
    <w:div w:id="1042022558">
      <w:bodyDiv w:val="1"/>
      <w:marLeft w:val="0"/>
      <w:marRight w:val="0"/>
      <w:marTop w:val="0"/>
      <w:marBottom w:val="0"/>
      <w:divBdr>
        <w:top w:val="none" w:sz="0" w:space="0" w:color="auto"/>
        <w:left w:val="none" w:sz="0" w:space="0" w:color="auto"/>
        <w:bottom w:val="none" w:sz="0" w:space="0" w:color="auto"/>
        <w:right w:val="none" w:sz="0" w:space="0" w:color="auto"/>
      </w:divBdr>
    </w:div>
    <w:div w:id="173199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www.em.csiro.au/energymarkresources/index.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wgencoal.com.au/solutions_carbon-capture-storage_post-combustion-capture.aspx" TargetMode="External"/><Relationship Id="rId17" Type="http://schemas.openxmlformats.org/officeDocument/2006/relationships/hyperlink" Target="http://www.co2crc.com.au/" TargetMode="External"/><Relationship Id="rId2" Type="http://schemas.openxmlformats.org/officeDocument/2006/relationships/numbering" Target="numbering.xml"/><Relationship Id="rId16" Type="http://schemas.openxmlformats.org/officeDocument/2006/relationships/hyperlink" Target="http://www.hydrogenenerg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www.co2crc.com.au/" TargetMode="Externa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owermag.com/environmental/Exploring-the-many-carbon-capture-options_189_p3.htm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www.oresomeresource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85168-DB9C-4A15-BDAE-8ACABF652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dc:creator>
  <cp:lastModifiedBy>ewilliamson</cp:lastModifiedBy>
  <cp:revision>6</cp:revision>
  <dcterms:created xsi:type="dcterms:W3CDTF">2010-01-28T04:47:00Z</dcterms:created>
  <dcterms:modified xsi:type="dcterms:W3CDTF">2010-01-28T06:14:00Z</dcterms:modified>
</cp:coreProperties>
</file>