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D01" w:rsidRDefault="00F9126F" w:rsidP="00CE0B32">
      <w:pPr>
        <w:pStyle w:val="QRCHeading1"/>
      </w:pPr>
      <w:r w:rsidRPr="00F9126F">
        <w:pict>
          <v:shapetype id="_x0000_t202" coordsize="21600,21600" o:spt="202" path="m,l,21600r21600,l21600,xe">
            <v:stroke joinstyle="miter"/>
            <v:path gradientshapeok="t" o:connecttype="rect"/>
          </v:shapetype>
          <v:shape id="_x0000_s1027" type="#_x0000_t202" style="position:absolute;margin-left:99.1pt;margin-top:-79.05pt;width:446.75pt;height:29.35pt;z-index:251658752;mso-width-relative:margin;mso-height-relative:margin" filled="f" stroked="f">
            <v:textbox style="mso-next-textbox:#_x0000_s1027">
              <w:txbxContent>
                <w:p w:rsidR="00F8383B" w:rsidRPr="001C2203" w:rsidRDefault="00F8383B" w:rsidP="001C2203">
                  <w:pPr>
                    <w:pStyle w:val="QRCTopHeading"/>
                  </w:pPr>
                  <w:r>
                    <w:t>Renewable Energy</w:t>
                  </w:r>
                  <w:r w:rsidRPr="00312DFC">
                    <w:t xml:space="preserve"> </w:t>
                  </w:r>
                  <w:r>
                    <w:rPr>
                      <w:color w:val="DD420C"/>
                    </w:rPr>
                    <w:t xml:space="preserve">in </w:t>
                  </w:r>
                  <w:r w:rsidRPr="001C2203">
                    <w:t>Queensland</w:t>
                  </w:r>
                </w:p>
              </w:txbxContent>
            </v:textbox>
            <w10:anchorlock/>
          </v:shape>
        </w:pict>
      </w:r>
      <w:r w:rsidR="005C7FCB">
        <w:t>How much</w:t>
      </w:r>
      <w:r w:rsidR="007C2F99" w:rsidRPr="00722B02">
        <w:t xml:space="preserve"> </w:t>
      </w:r>
      <w:r w:rsidR="001C2203">
        <w:t>renewable energy</w:t>
      </w:r>
      <w:r w:rsidR="005C7FCB">
        <w:t xml:space="preserve"> is used in Queensland</w:t>
      </w:r>
      <w:r w:rsidR="007C2F99" w:rsidRPr="00722B02">
        <w:t>?</w:t>
      </w:r>
    </w:p>
    <w:p w:rsidR="00A63D19" w:rsidRPr="00F570AF" w:rsidRDefault="00A63D19" w:rsidP="009F7061">
      <w:pPr>
        <w:pStyle w:val="QRCHeading2"/>
        <w:spacing w:after="120"/>
        <w:ind w:right="1701"/>
        <w:rPr>
          <w:szCs w:val="20"/>
        </w:rPr>
      </w:pPr>
      <w:r w:rsidRPr="00F570AF">
        <w:t xml:space="preserve">Renewable energy is used from a number of sources in Queensland. </w:t>
      </w:r>
      <w:r w:rsidR="002D5A88">
        <w:t>A</w:t>
      </w:r>
      <w:r w:rsidR="00324DA7">
        <w:t xml:space="preserve">pproximately </w:t>
      </w:r>
      <w:r w:rsidR="002D5A88" w:rsidRPr="00A70215">
        <w:t>6%</w:t>
      </w:r>
      <w:r w:rsidR="00324DA7" w:rsidRPr="00A70215">
        <w:t xml:space="preserve"> </w:t>
      </w:r>
      <w:r w:rsidR="00A70215" w:rsidRPr="00A70215">
        <w:t xml:space="preserve">(745 </w:t>
      </w:r>
      <w:r w:rsidR="00A70215">
        <w:t>m</w:t>
      </w:r>
      <w:r w:rsidR="00A70215" w:rsidRPr="00A70215">
        <w:t>egawatts</w:t>
      </w:r>
      <w:r w:rsidR="00A70215">
        <w:t xml:space="preserve"> (MW)</w:t>
      </w:r>
      <w:r w:rsidR="00A70215" w:rsidRPr="00A70215">
        <w:t xml:space="preserve">) </w:t>
      </w:r>
      <w:r w:rsidR="00324DA7" w:rsidRPr="00A70215">
        <w:t xml:space="preserve">of the </w:t>
      </w:r>
      <w:r w:rsidR="002D5A88" w:rsidRPr="00A70215">
        <w:t>12,500</w:t>
      </w:r>
      <w:r w:rsidR="00324DA7" w:rsidRPr="00A70215">
        <w:t xml:space="preserve"> </w:t>
      </w:r>
      <w:r w:rsidRPr="00A70215">
        <w:t>(MW) of electricity generat</w:t>
      </w:r>
      <w:r w:rsidR="00BA3092" w:rsidRPr="00A70215">
        <w:t>ing capacity</w:t>
      </w:r>
      <w:r w:rsidRPr="00A70215">
        <w:t xml:space="preserve"> comes from</w:t>
      </w:r>
      <w:r w:rsidRPr="00F570AF">
        <w:t xml:space="preserve"> renewable sources.</w:t>
      </w:r>
      <w:r w:rsidR="00324DA7">
        <w:rPr>
          <w:vertAlign w:val="superscript"/>
        </w:rPr>
        <w:t>1</w:t>
      </w:r>
      <w:r w:rsidRPr="00F570AF">
        <w:t xml:space="preserve"> </w:t>
      </w:r>
      <w:proofErr w:type="gramStart"/>
      <w:r w:rsidR="00F570AF" w:rsidRPr="00F570AF">
        <w:rPr>
          <w:szCs w:val="20"/>
        </w:rPr>
        <w:t>The</w:t>
      </w:r>
      <w:proofErr w:type="gramEnd"/>
      <w:r w:rsidR="00F570AF" w:rsidRPr="00F570AF">
        <w:rPr>
          <w:szCs w:val="20"/>
        </w:rPr>
        <w:t xml:space="preserve"> most significant of these is biomass primarily </w:t>
      </w:r>
      <w:proofErr w:type="spellStart"/>
      <w:r w:rsidR="00F570AF" w:rsidRPr="00F570AF">
        <w:rPr>
          <w:szCs w:val="20"/>
        </w:rPr>
        <w:t>bagasse</w:t>
      </w:r>
      <w:proofErr w:type="spellEnd"/>
      <w:r w:rsidR="00F570AF" w:rsidRPr="00F570AF">
        <w:rPr>
          <w:szCs w:val="20"/>
        </w:rPr>
        <w:t xml:space="preserve"> or sugar cane waste.</w:t>
      </w:r>
    </w:p>
    <w:p w:rsidR="00722B02" w:rsidRDefault="00F9126F" w:rsidP="00916D0F">
      <w:pPr>
        <w:tabs>
          <w:tab w:val="left" w:pos="6237"/>
        </w:tabs>
        <w:ind w:right="2789"/>
        <w:rPr>
          <w:color w:val="808080" w:themeColor="background1" w:themeShade="80"/>
          <w:spacing w:val="-20"/>
          <w:sz w:val="28"/>
        </w:rPr>
      </w:pPr>
      <w:r w:rsidRPr="00F9126F">
        <w:rPr>
          <w:color w:val="808080" w:themeColor="background1" w:themeShade="80"/>
          <w:spacing w:val="-20"/>
          <w:sz w:val="28"/>
        </w:rPr>
      </w:r>
      <w:r>
        <w:rPr>
          <w:color w:val="808080" w:themeColor="background1" w:themeShade="80"/>
          <w:spacing w:val="-20"/>
          <w:sz w:val="28"/>
        </w:rPr>
        <w:pict>
          <v:rect id="_x0000_s1031" style="width:454.9pt;height:7.15pt;mso-left-percent:-10001;mso-top-percent:-10001;mso-position-horizontal:absolute;mso-position-horizontal-relative:char;mso-position-vertical:absolute;mso-position-vertical-relative:line;mso-left-percent:-10001;mso-top-percent:-10001;mso-width-relative:margin" fillcolor="#d8d8d8 [2732]" stroked="f">
            <v:fill r:id="rId8" o:title="Wide upward diagonal" type="pattern"/>
            <w10:wrap type="none"/>
            <w10:anchorlock/>
          </v:rect>
        </w:pict>
      </w:r>
    </w:p>
    <w:p w:rsidR="000D589E" w:rsidRDefault="000D589E" w:rsidP="000D589E">
      <w:pPr>
        <w:pStyle w:val="QRCNormalBody"/>
        <w:rPr>
          <w:color w:val="51C8E8"/>
          <w:spacing w:val="-20"/>
          <w:sz w:val="28"/>
        </w:rPr>
        <w:sectPr w:rsidR="000D589E" w:rsidSect="00CE0B32">
          <w:footerReference w:type="default" r:id="rId9"/>
          <w:pgSz w:w="11906" w:h="16838"/>
          <w:pgMar w:top="1701" w:right="566" w:bottom="1440" w:left="567" w:header="708" w:footer="708" w:gutter="0"/>
          <w:cols w:space="708"/>
          <w:docGrid w:linePitch="360"/>
        </w:sectPr>
      </w:pPr>
    </w:p>
    <w:p w:rsidR="00F570AF" w:rsidRDefault="00C5111C" w:rsidP="00593B89">
      <w:pPr>
        <w:pStyle w:val="QRCHeading3"/>
        <w:spacing w:after="120"/>
      </w:pPr>
      <w:r>
        <w:lastRenderedPageBreak/>
        <w:t>What are the sources of renewable energy in Queensland?</w:t>
      </w:r>
    </w:p>
    <w:p w:rsidR="00F570AF" w:rsidRDefault="001E1FF7" w:rsidP="00C5111C">
      <w:pPr>
        <w:pStyle w:val="QRCNormalBody"/>
      </w:pPr>
      <w:r>
        <w:rPr>
          <w:b/>
          <w:noProof/>
          <w:lang w:val="en-GB" w:eastAsia="en-GB"/>
        </w:rPr>
        <w:drawing>
          <wp:anchor distT="0" distB="0" distL="114300" distR="114300" simplePos="0" relativeHeight="251664896" behindDoc="0" locked="0" layoutInCell="1" allowOverlap="1">
            <wp:simplePos x="0" y="0"/>
            <wp:positionH relativeFrom="column">
              <wp:posOffset>-26670</wp:posOffset>
            </wp:positionH>
            <wp:positionV relativeFrom="paragraph">
              <wp:posOffset>665480</wp:posOffset>
            </wp:positionV>
            <wp:extent cx="1155065" cy="1533525"/>
            <wp:effectExtent l="19050" t="19050" r="26035" b="28575"/>
            <wp:wrapSquare wrapText="bothSides"/>
            <wp:docPr id="2" name="Picture 6" descr="Birdsville 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rdsville ORCE"/>
                    <pic:cNvPicPr>
                      <a:picLocks noChangeAspect="1" noChangeArrowheads="1"/>
                    </pic:cNvPicPr>
                  </pic:nvPicPr>
                  <pic:blipFill>
                    <a:blip r:embed="rId10" cstate="print"/>
                    <a:srcRect/>
                    <a:stretch>
                      <a:fillRect/>
                    </a:stretch>
                  </pic:blipFill>
                  <pic:spPr bwMode="auto">
                    <a:xfrm>
                      <a:off x="0" y="0"/>
                      <a:ext cx="1155065" cy="1533525"/>
                    </a:xfrm>
                    <a:prstGeom prst="rect">
                      <a:avLst/>
                    </a:prstGeom>
                    <a:noFill/>
                    <a:ln w="9525">
                      <a:solidFill>
                        <a:srgbClr val="00B0F0"/>
                      </a:solidFill>
                      <a:miter lim="800000"/>
                      <a:headEnd/>
                      <a:tailEnd/>
                    </a:ln>
                  </pic:spPr>
                </pic:pic>
              </a:graphicData>
            </a:graphic>
          </wp:anchor>
        </w:drawing>
      </w:r>
      <w:proofErr w:type="spellStart"/>
      <w:r w:rsidR="00F570AF" w:rsidRPr="00C5111C">
        <w:rPr>
          <w:rStyle w:val="QRCBulletTitleChar"/>
        </w:rPr>
        <w:t>Bagasse</w:t>
      </w:r>
      <w:proofErr w:type="spellEnd"/>
      <w:r w:rsidR="00F570AF">
        <w:rPr>
          <w:b/>
        </w:rPr>
        <w:br/>
      </w:r>
      <w:proofErr w:type="spellStart"/>
      <w:r w:rsidR="00F570AF" w:rsidRPr="00B61598">
        <w:t>Bagasse</w:t>
      </w:r>
      <w:proofErr w:type="spellEnd"/>
      <w:r w:rsidR="00F570AF" w:rsidRPr="00B61598">
        <w:t xml:space="preserve"> (the fibre residue from crushed sugar cane) is used as a fuel in the generation of electricity at many of the sugar mills in northern Queensland, and in a smaller number of mills in south east </w:t>
      </w:r>
      <w:r w:rsidR="00F570AF" w:rsidRPr="00CC2ECC">
        <w:t>Queensland. The sugar mills use most of this electricity in the production of sugar, but an increasing proportion of surplus power is sold to the network.</w:t>
      </w:r>
    </w:p>
    <w:p w:rsidR="00F570AF" w:rsidRDefault="00F9126F" w:rsidP="00C5111C">
      <w:pPr>
        <w:pStyle w:val="QRCNormalBody"/>
        <w:rPr>
          <w:rFonts w:eastAsia="Times New Roman"/>
        </w:rPr>
      </w:pPr>
      <w:r w:rsidRPr="00F9126F">
        <w:rPr>
          <w:b/>
          <w:noProof/>
          <w:lang w:val="en-GB" w:eastAsia="en-GB"/>
        </w:rPr>
        <w:pict>
          <v:shape id="_x0000_s1030" type="#_x0000_t202" style="position:absolute;margin-left:-103.9pt;margin-top:57.05pt;width:94.15pt;height:51pt;z-index:251665920" filled="f" stroked="f">
            <v:textbox inset=".5mm,.3mm,.5mm,.3mm">
              <w:txbxContent>
                <w:p w:rsidR="00F8383B" w:rsidRPr="00C5111C" w:rsidRDefault="00F8383B" w:rsidP="00593B89">
                  <w:pPr>
                    <w:pStyle w:val="QRCNormalBody"/>
                    <w:jc w:val="center"/>
                    <w:rPr>
                      <w:color w:val="51C8DD"/>
                      <w:sz w:val="18"/>
                      <w:szCs w:val="18"/>
                    </w:rPr>
                  </w:pPr>
                  <w:proofErr w:type="gramStart"/>
                  <w:r>
                    <w:rPr>
                      <w:color w:val="51C8DD"/>
                      <w:sz w:val="18"/>
                      <w:szCs w:val="18"/>
                    </w:rPr>
                    <w:t>Geothermal equipment at Birdsville</w:t>
                  </w:r>
                  <w:r w:rsidRPr="00C5111C">
                    <w:rPr>
                      <w:color w:val="51C8DD"/>
                      <w:sz w:val="18"/>
                      <w:szCs w:val="18"/>
                    </w:rPr>
                    <w:t>.</w:t>
                  </w:r>
                  <w:proofErr w:type="gramEnd"/>
                  <w:r w:rsidRPr="00C5111C">
                    <w:rPr>
                      <w:color w:val="51C8DD"/>
                      <w:sz w:val="18"/>
                      <w:szCs w:val="18"/>
                    </w:rPr>
                    <w:t xml:space="preserve"> </w:t>
                  </w:r>
                  <w:r w:rsidRPr="00C5111C">
                    <w:rPr>
                      <w:color w:val="51C8DD"/>
                      <w:sz w:val="18"/>
                      <w:szCs w:val="18"/>
                    </w:rPr>
                    <w:br/>
                  </w:r>
                  <w:proofErr w:type="gramStart"/>
                  <w:r w:rsidRPr="00C5111C">
                    <w:rPr>
                      <w:color w:val="51C8DD"/>
                      <w:sz w:val="18"/>
                      <w:szCs w:val="18"/>
                    </w:rPr>
                    <w:t xml:space="preserve">Image courtesy of </w:t>
                  </w:r>
                  <w:r>
                    <w:rPr>
                      <w:color w:val="51C8DD"/>
                      <w:sz w:val="18"/>
                      <w:szCs w:val="18"/>
                    </w:rPr>
                    <w:t>Ergon Energy</w:t>
                  </w:r>
                  <w:r w:rsidRPr="00C5111C">
                    <w:rPr>
                      <w:color w:val="51C8DD"/>
                      <w:sz w:val="18"/>
                      <w:szCs w:val="18"/>
                    </w:rPr>
                    <w:t>.</w:t>
                  </w:r>
                  <w:proofErr w:type="gramEnd"/>
                </w:p>
                <w:p w:rsidR="00F8383B" w:rsidRDefault="00F8383B" w:rsidP="00593B89"/>
              </w:txbxContent>
            </v:textbox>
            <w10:wrap type="square"/>
          </v:shape>
        </w:pict>
      </w:r>
      <w:r w:rsidR="00F570AF" w:rsidRPr="00CC2ECC">
        <w:rPr>
          <w:rFonts w:eastAsia="Times New Roman"/>
        </w:rPr>
        <w:t xml:space="preserve">Currently the State has the capacity to generate approximately </w:t>
      </w:r>
      <w:r w:rsidR="002B3E05" w:rsidRPr="00A70215">
        <w:rPr>
          <w:rFonts w:eastAsia="Times New Roman"/>
        </w:rPr>
        <w:t>415</w:t>
      </w:r>
      <w:r w:rsidR="00F570AF" w:rsidRPr="00A70215">
        <w:rPr>
          <w:rFonts w:eastAsia="Times New Roman"/>
        </w:rPr>
        <w:t xml:space="preserve"> megawatts (MW) of</w:t>
      </w:r>
      <w:r w:rsidR="00F570AF" w:rsidRPr="00CC2ECC">
        <w:rPr>
          <w:rFonts w:eastAsia="Times New Roman"/>
        </w:rPr>
        <w:t xml:space="preserve"> biomass-fired electricity. The use of biomass as an energy source has added value to Queensland's sugar industry.</w:t>
      </w:r>
    </w:p>
    <w:p w:rsidR="00C5111C" w:rsidRPr="00C5111C" w:rsidRDefault="00F570AF" w:rsidP="00C5111C">
      <w:pPr>
        <w:pStyle w:val="QRCBulletTitle"/>
        <w:spacing w:after="0"/>
      </w:pPr>
      <w:r w:rsidRPr="00C5111C">
        <w:rPr>
          <w:szCs w:val="20"/>
        </w:rPr>
        <w:t>Biogas</w:t>
      </w:r>
    </w:p>
    <w:p w:rsidR="00F570AF" w:rsidRDefault="00F570AF" w:rsidP="00C5111C">
      <w:pPr>
        <w:pStyle w:val="QRCNormalBody"/>
      </w:pPr>
      <w:r w:rsidRPr="00C5111C">
        <w:t>A small amount of biogas</w:t>
      </w:r>
      <w:r w:rsidR="00201698">
        <w:t xml:space="preserve"> (30MW)</w:t>
      </w:r>
      <w:r w:rsidRPr="00C5111C">
        <w:t xml:space="preserve"> is generated from a number of waste facilities across Queensland including in Brisbane, Townsville and Swanbank.</w:t>
      </w:r>
    </w:p>
    <w:p w:rsidR="00F570AF" w:rsidRDefault="00F570AF" w:rsidP="00C5111C">
      <w:pPr>
        <w:pStyle w:val="QRCNormalBody"/>
      </w:pPr>
      <w:r w:rsidRPr="00C5111C">
        <w:rPr>
          <w:rStyle w:val="QRCBulletTitleChar"/>
        </w:rPr>
        <w:t xml:space="preserve">Geothermal </w:t>
      </w:r>
      <w:r>
        <w:br/>
      </w:r>
      <w:r w:rsidRPr="00B61598">
        <w:t>Geothermal or hot dry rocks has</w:t>
      </w:r>
      <w:r w:rsidR="003F659F">
        <w:t xml:space="preserve"> the</w:t>
      </w:r>
      <w:r w:rsidRPr="00B61598">
        <w:t xml:space="preserve"> potential to produce energy in Queensland.</w:t>
      </w:r>
    </w:p>
    <w:p w:rsidR="00F570AF" w:rsidRDefault="00593B89" w:rsidP="00C5111C">
      <w:pPr>
        <w:pStyle w:val="QRCNormalBody"/>
      </w:pPr>
      <w:r>
        <w:rPr>
          <w:noProof/>
          <w:lang w:val="en-GB" w:eastAsia="en-GB"/>
        </w:rPr>
        <w:drawing>
          <wp:anchor distT="0" distB="0" distL="114300" distR="114300" simplePos="0" relativeHeight="251660800" behindDoc="0" locked="0" layoutInCell="1" allowOverlap="1">
            <wp:simplePos x="0" y="0"/>
            <wp:positionH relativeFrom="column">
              <wp:posOffset>-26670</wp:posOffset>
            </wp:positionH>
            <wp:positionV relativeFrom="paragraph">
              <wp:posOffset>754380</wp:posOffset>
            </wp:positionV>
            <wp:extent cx="1501140" cy="1085850"/>
            <wp:effectExtent l="19050" t="19050" r="22860" b="1905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b="7849"/>
                    <a:stretch>
                      <a:fillRect/>
                    </a:stretch>
                  </pic:blipFill>
                  <pic:spPr bwMode="auto">
                    <a:xfrm>
                      <a:off x="0" y="0"/>
                      <a:ext cx="1501140" cy="1085850"/>
                    </a:xfrm>
                    <a:prstGeom prst="rect">
                      <a:avLst/>
                    </a:prstGeom>
                    <a:noFill/>
                    <a:ln w="9525">
                      <a:solidFill>
                        <a:schemeClr val="bg1">
                          <a:lumMod val="75000"/>
                        </a:schemeClr>
                      </a:solidFill>
                      <a:miter lim="800000"/>
                      <a:headEnd/>
                      <a:tailEnd/>
                    </a:ln>
                  </pic:spPr>
                </pic:pic>
              </a:graphicData>
            </a:graphic>
          </wp:anchor>
        </w:drawing>
      </w:r>
      <w:r w:rsidR="00F570AF" w:rsidRPr="00B61598">
        <w:t>Currently Australia’s only geothermal power station is located in Birdsville western Queensland</w:t>
      </w:r>
      <w:r w:rsidR="00324DA7">
        <w:rPr>
          <w:vertAlign w:val="superscript"/>
        </w:rPr>
        <w:t>2</w:t>
      </w:r>
      <w:r w:rsidR="00F570AF" w:rsidRPr="00B61598">
        <w:t>. The power station allows geothermal power to meet</w:t>
      </w:r>
      <w:r w:rsidR="002B3E05">
        <w:t xml:space="preserve"> 25%</w:t>
      </w:r>
      <w:r w:rsidR="00A70215">
        <w:t xml:space="preserve"> of</w:t>
      </w:r>
      <w:r w:rsidR="00F570AF" w:rsidRPr="00B61598">
        <w:t xml:space="preserve"> the town’s electricity demand </w:t>
      </w:r>
      <w:r w:rsidR="002B3E05">
        <w:t>(80 kilowatts.)</w:t>
      </w:r>
      <w:r w:rsidR="003F659F">
        <w:t xml:space="preserve"> R</w:t>
      </w:r>
      <w:r w:rsidR="00F570AF" w:rsidRPr="00B61598">
        <w:t>esearch</w:t>
      </w:r>
      <w:r w:rsidR="003F659F">
        <w:t xml:space="preserve"> is currently being conducted</w:t>
      </w:r>
      <w:r w:rsidR="00F570AF" w:rsidRPr="00B61598">
        <w:t xml:space="preserve"> to investigate the amount of energy that could be obtained from these ‘hot rocks’.</w:t>
      </w:r>
    </w:p>
    <w:p w:rsidR="00F570AF" w:rsidRDefault="00F9126F" w:rsidP="00C5111C">
      <w:pPr>
        <w:pStyle w:val="QRCNormalBody"/>
        <w:rPr>
          <w:rFonts w:eastAsia="Times New Roman"/>
        </w:rPr>
      </w:pPr>
      <w:r w:rsidRPr="00F9126F">
        <w:rPr>
          <w:noProof/>
          <w:lang w:val="en-GB" w:eastAsia="en-GB"/>
        </w:rPr>
        <w:pict>
          <v:shape id="_x0000_s1029" type="#_x0000_t202" style="position:absolute;margin-left:-130.9pt;margin-top:50.95pt;width:120.75pt;height:37.55pt;z-index:251662848" filled="f" stroked="f">
            <v:textbox inset=".5mm,.3mm,.5mm,.3mm">
              <w:txbxContent>
                <w:p w:rsidR="00F8383B" w:rsidRPr="00C5111C" w:rsidRDefault="00F8383B" w:rsidP="00593B89">
                  <w:pPr>
                    <w:pStyle w:val="QRCNormalBody"/>
                    <w:jc w:val="center"/>
                    <w:rPr>
                      <w:color w:val="51C8DD"/>
                      <w:sz w:val="18"/>
                      <w:szCs w:val="18"/>
                    </w:rPr>
                  </w:pPr>
                  <w:r>
                    <w:rPr>
                      <w:color w:val="51C8DD"/>
                      <w:sz w:val="18"/>
                      <w:szCs w:val="18"/>
                    </w:rPr>
                    <w:t>Koombooloomba Hydro Dam</w:t>
                  </w:r>
                  <w:r w:rsidRPr="00C5111C">
                    <w:rPr>
                      <w:color w:val="51C8DD"/>
                      <w:sz w:val="18"/>
                      <w:szCs w:val="18"/>
                    </w:rPr>
                    <w:t xml:space="preserve">. </w:t>
                  </w:r>
                  <w:r w:rsidRPr="00C5111C">
                    <w:rPr>
                      <w:color w:val="51C8DD"/>
                      <w:sz w:val="18"/>
                      <w:szCs w:val="18"/>
                    </w:rPr>
                    <w:br/>
                    <w:t>Image courtesy of Stanwell Corporation Limited.</w:t>
                  </w:r>
                </w:p>
                <w:p w:rsidR="00F8383B" w:rsidRDefault="00F8383B" w:rsidP="00593B89"/>
              </w:txbxContent>
            </v:textbox>
            <w10:wrap type="square"/>
          </v:shape>
        </w:pict>
      </w:r>
      <w:r w:rsidR="00F570AF" w:rsidRPr="009C491D">
        <w:rPr>
          <w:rFonts w:eastAsia="Times New Roman"/>
        </w:rPr>
        <w:t xml:space="preserve">Though much of the initial interest in geothermal energy sources has centred on the deep granite deposits in far south west Queensland, interest is now also being shown in geothermal energy </w:t>
      </w:r>
      <w:r w:rsidR="00F570AF" w:rsidRPr="009C491D">
        <w:rPr>
          <w:rFonts w:eastAsia="Times New Roman"/>
        </w:rPr>
        <w:lastRenderedPageBreak/>
        <w:t>sources closer to existing transmission lines.</w:t>
      </w:r>
    </w:p>
    <w:p w:rsidR="00F570AF" w:rsidRDefault="00F570AF" w:rsidP="00F570AF">
      <w:pPr>
        <w:pStyle w:val="NormalWeb"/>
        <w:shd w:val="clear" w:color="auto" w:fill="FFFFFF"/>
        <w:spacing w:before="0" w:beforeAutospacing="0" w:after="0" w:afterAutospacing="0" w:line="260" w:lineRule="atLeast"/>
        <w:rPr>
          <w:rFonts w:ascii="Arial" w:hAnsi="Arial" w:cs="Arial"/>
          <w:color w:val="000000"/>
          <w:sz w:val="20"/>
          <w:szCs w:val="20"/>
        </w:rPr>
      </w:pPr>
      <w:r w:rsidRPr="00C5111C">
        <w:rPr>
          <w:rStyle w:val="QRCBulletTitleChar"/>
        </w:rPr>
        <w:t>Hydro</w:t>
      </w:r>
      <w:r w:rsidRPr="006B17CB">
        <w:rPr>
          <w:rFonts w:ascii="Arial" w:hAnsi="Arial" w:cs="Arial"/>
          <w:b/>
          <w:caps/>
          <w:color w:val="00B050"/>
          <w:sz w:val="20"/>
          <w:szCs w:val="20"/>
        </w:rPr>
        <w:t xml:space="preserve"> </w:t>
      </w:r>
      <w:r>
        <w:rPr>
          <w:rFonts w:ascii="Arial" w:hAnsi="Arial" w:cs="Arial"/>
          <w:b/>
          <w:color w:val="000000"/>
          <w:sz w:val="20"/>
          <w:szCs w:val="20"/>
        </w:rPr>
        <w:br/>
      </w:r>
      <w:r w:rsidRPr="00C5111C">
        <w:rPr>
          <w:rStyle w:val="QRCNormalBodyChar"/>
        </w:rPr>
        <w:t xml:space="preserve">Hydro energy or energy from water is generated from Barron Gorge, Kareeya, Koombooloomba and Wivenhoe. It is possible to generate around </w:t>
      </w:r>
      <w:r w:rsidR="002B3E05">
        <w:rPr>
          <w:rStyle w:val="QRCNormalBodyChar"/>
        </w:rPr>
        <w:t>169</w:t>
      </w:r>
      <w:r w:rsidRPr="00A70215">
        <w:rPr>
          <w:rStyle w:val="QRCNormalBodyChar"/>
        </w:rPr>
        <w:t>MW</w:t>
      </w:r>
      <w:r w:rsidRPr="00C5111C">
        <w:rPr>
          <w:rStyle w:val="QRCNormalBodyChar"/>
        </w:rPr>
        <w:t xml:space="preserve"> of energy from these locations.</w:t>
      </w:r>
    </w:p>
    <w:p w:rsidR="00F570AF" w:rsidRPr="00782D41" w:rsidRDefault="00F570AF" w:rsidP="00F570AF">
      <w:pPr>
        <w:pStyle w:val="NormalWeb"/>
        <w:shd w:val="clear" w:color="auto" w:fill="FFFFFF"/>
        <w:spacing w:before="0" w:beforeAutospacing="0" w:after="0" w:afterAutospacing="0" w:line="260" w:lineRule="atLeast"/>
        <w:rPr>
          <w:rFonts w:ascii="Arial" w:hAnsi="Arial" w:cs="Arial"/>
          <w:b/>
          <w:color w:val="000000"/>
          <w:sz w:val="20"/>
          <w:szCs w:val="20"/>
        </w:rPr>
      </w:pPr>
    </w:p>
    <w:p w:rsidR="00F570AF" w:rsidRPr="006B17CB" w:rsidRDefault="00F8383B" w:rsidP="00F570AF">
      <w:pPr>
        <w:pStyle w:val="NormalWeb"/>
        <w:shd w:val="clear" w:color="auto" w:fill="FFFFFF"/>
        <w:spacing w:before="0" w:beforeAutospacing="0" w:after="0" w:afterAutospacing="0" w:line="260" w:lineRule="atLeast"/>
        <w:rPr>
          <w:rFonts w:ascii="Arial" w:hAnsi="Arial" w:cs="Arial"/>
          <w:b/>
          <w:caps/>
          <w:color w:val="000000"/>
          <w:sz w:val="20"/>
          <w:szCs w:val="20"/>
        </w:rPr>
      </w:pPr>
      <w:r>
        <w:rPr>
          <w:noProof/>
          <w:color w:val="000000"/>
          <w:lang w:eastAsia="en-GB"/>
        </w:rPr>
        <w:drawing>
          <wp:anchor distT="0" distB="0" distL="114300" distR="114300" simplePos="0" relativeHeight="251659776" behindDoc="1" locked="0" layoutInCell="1" allowOverlap="1">
            <wp:simplePos x="0" y="0"/>
            <wp:positionH relativeFrom="column">
              <wp:posOffset>1548130</wp:posOffset>
            </wp:positionH>
            <wp:positionV relativeFrom="paragraph">
              <wp:posOffset>709295</wp:posOffset>
            </wp:positionV>
            <wp:extent cx="1657350" cy="1114425"/>
            <wp:effectExtent l="19050" t="19050" r="19050" b="28575"/>
            <wp:wrapTight wrapText="bothSides">
              <wp:wrapPolygon edited="0">
                <wp:start x="-248" y="-369"/>
                <wp:lineTo x="-248" y="22154"/>
                <wp:lineTo x="21848" y="22154"/>
                <wp:lineTo x="21848" y="-369"/>
                <wp:lineTo x="-248" y="-369"/>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657350" cy="1114425"/>
                    </a:xfrm>
                    <a:prstGeom prst="rect">
                      <a:avLst/>
                    </a:prstGeom>
                    <a:noFill/>
                    <a:ln w="9525">
                      <a:solidFill>
                        <a:schemeClr val="bg1">
                          <a:lumMod val="75000"/>
                        </a:schemeClr>
                      </a:solidFill>
                      <a:miter lim="800000"/>
                      <a:headEnd/>
                      <a:tailEnd/>
                    </a:ln>
                  </pic:spPr>
                </pic:pic>
              </a:graphicData>
            </a:graphic>
          </wp:anchor>
        </w:drawing>
      </w:r>
      <w:r w:rsidR="00F9126F" w:rsidRPr="00F9126F">
        <w:rPr>
          <w:noProof/>
          <w:color w:val="000000"/>
          <w:lang w:eastAsia="en-GB"/>
        </w:rPr>
        <w:pict>
          <v:shape id="_x0000_s1028" type="#_x0000_t202" style="position:absolute;margin-left:120.4pt;margin-top:152.6pt;width:133.5pt;height:34.7pt;z-index:251661824;mso-position-horizontal-relative:text;mso-position-vertical-relative:text" filled="f" stroked="f">
            <v:textbox inset=".5mm,.3mm,.5mm,.3mm">
              <w:txbxContent>
                <w:p w:rsidR="00F8383B" w:rsidRPr="00C5111C" w:rsidRDefault="00F8383B" w:rsidP="00C5111C">
                  <w:pPr>
                    <w:pStyle w:val="QRCNormalBody"/>
                    <w:jc w:val="center"/>
                    <w:rPr>
                      <w:color w:val="51C8DD"/>
                      <w:sz w:val="18"/>
                      <w:szCs w:val="18"/>
                    </w:rPr>
                  </w:pPr>
                  <w:r w:rsidRPr="00C5111C">
                    <w:rPr>
                      <w:color w:val="51C8DD"/>
                      <w:sz w:val="18"/>
                      <w:szCs w:val="18"/>
                    </w:rPr>
                    <w:t xml:space="preserve">Windy Hill wind farm. </w:t>
                  </w:r>
                  <w:r w:rsidRPr="00C5111C">
                    <w:rPr>
                      <w:color w:val="51C8DD"/>
                      <w:sz w:val="18"/>
                      <w:szCs w:val="18"/>
                    </w:rPr>
                    <w:br/>
                    <w:t>Image courtesy of Stanwell Corporation Limited.</w:t>
                  </w:r>
                </w:p>
                <w:p w:rsidR="00F8383B" w:rsidRDefault="00F8383B"/>
              </w:txbxContent>
            </v:textbox>
            <w10:wrap type="square"/>
          </v:shape>
        </w:pict>
      </w:r>
      <w:r w:rsidR="00F570AF" w:rsidRPr="00C5111C">
        <w:rPr>
          <w:rStyle w:val="QRCBulletTitleChar"/>
        </w:rPr>
        <w:t>Solar</w:t>
      </w:r>
      <w:r w:rsidR="00F570AF">
        <w:rPr>
          <w:rFonts w:ascii="Arial" w:hAnsi="Arial" w:cs="Arial"/>
          <w:b/>
          <w:color w:val="000000"/>
          <w:sz w:val="20"/>
          <w:szCs w:val="20"/>
        </w:rPr>
        <w:br/>
      </w:r>
      <w:proofErr w:type="gramStart"/>
      <w:r w:rsidR="00346EEC">
        <w:rPr>
          <w:rStyle w:val="QRCNormalBodyChar"/>
        </w:rPr>
        <w:t>A</w:t>
      </w:r>
      <w:proofErr w:type="gramEnd"/>
      <w:r w:rsidR="00F570AF" w:rsidRPr="00C5111C">
        <w:rPr>
          <w:rStyle w:val="QRCNormalBodyChar"/>
        </w:rPr>
        <w:t xml:space="preserve"> small percentage of solar energy is used in Queensland, primarily for heating water with 4.8% of households in Queensland using solar hot water systems</w:t>
      </w:r>
      <w:r w:rsidR="002B3E05">
        <w:rPr>
          <w:rStyle w:val="QRCNormalBodyChar"/>
        </w:rPr>
        <w:t xml:space="preserve"> (144 MW)</w:t>
      </w:r>
      <w:r w:rsidR="00F570AF" w:rsidRPr="00C5111C">
        <w:rPr>
          <w:rStyle w:val="QRCNormalBodyChar"/>
        </w:rPr>
        <w:t>. Photovoltaic cells</w:t>
      </w:r>
      <w:r w:rsidR="00A70215">
        <w:rPr>
          <w:rStyle w:val="QRCNormalBodyChar"/>
        </w:rPr>
        <w:t xml:space="preserve"> (6 MW)</w:t>
      </w:r>
      <w:r w:rsidR="00F570AF" w:rsidRPr="00C5111C">
        <w:rPr>
          <w:rStyle w:val="QRCNormalBodyChar"/>
        </w:rPr>
        <w:t xml:space="preserve"> are increasingly being used in remote area power supplies. </w:t>
      </w:r>
    </w:p>
    <w:p w:rsidR="00A70215" w:rsidRDefault="00A70215" w:rsidP="00F570AF">
      <w:pPr>
        <w:pStyle w:val="NormalWeb"/>
        <w:shd w:val="clear" w:color="auto" w:fill="FFFFFF"/>
        <w:spacing w:before="0" w:beforeAutospacing="0" w:after="0" w:afterAutospacing="0" w:line="260" w:lineRule="atLeast"/>
        <w:rPr>
          <w:rStyle w:val="QRCBulletTitleChar"/>
        </w:rPr>
      </w:pPr>
    </w:p>
    <w:p w:rsidR="00F570AF" w:rsidRPr="00C943BF" w:rsidRDefault="00F570AF" w:rsidP="00F570AF">
      <w:pPr>
        <w:pStyle w:val="NormalWeb"/>
        <w:shd w:val="clear" w:color="auto" w:fill="FFFFFF"/>
        <w:spacing w:before="0" w:beforeAutospacing="0" w:after="0" w:afterAutospacing="0" w:line="260" w:lineRule="atLeast"/>
        <w:rPr>
          <w:rFonts w:ascii="Arial" w:hAnsi="Arial" w:cs="Arial"/>
          <w:color w:val="333333"/>
          <w:sz w:val="20"/>
          <w:szCs w:val="20"/>
        </w:rPr>
      </w:pPr>
      <w:r w:rsidRPr="00C5111C">
        <w:rPr>
          <w:rStyle w:val="QRCBulletTitleChar"/>
        </w:rPr>
        <w:t>Wind</w:t>
      </w:r>
      <w:r>
        <w:rPr>
          <w:rFonts w:ascii="Arial" w:hAnsi="Arial" w:cs="Arial"/>
          <w:b/>
          <w:color w:val="000000"/>
          <w:sz w:val="20"/>
          <w:szCs w:val="20"/>
        </w:rPr>
        <w:br/>
      </w:r>
      <w:r w:rsidRPr="00C5111C">
        <w:rPr>
          <w:rStyle w:val="QRCNormalBodyChar"/>
        </w:rPr>
        <w:t>'Wind farms’, utilising wind generators to produce electricity, are located on Thursday Island</w:t>
      </w:r>
      <w:r w:rsidR="00324DA7">
        <w:rPr>
          <w:rStyle w:val="QRCNormalBodyChar"/>
          <w:vertAlign w:val="superscript"/>
        </w:rPr>
        <w:t>3</w:t>
      </w:r>
      <w:r w:rsidR="002B3E05">
        <w:rPr>
          <w:rStyle w:val="QRCNormalBodyChar"/>
          <w:vertAlign w:val="superscript"/>
        </w:rPr>
        <w:t xml:space="preserve"> </w:t>
      </w:r>
      <w:r w:rsidR="002B3E05" w:rsidRPr="002B3E05">
        <w:rPr>
          <w:rStyle w:val="QRCNormalBodyChar"/>
        </w:rPr>
        <w:t>(450 kilowatts</w:t>
      </w:r>
      <w:r w:rsidR="002B3E05">
        <w:rPr>
          <w:rStyle w:val="QRCNormalBodyChar"/>
        </w:rPr>
        <w:t>; 10 % of the island’s electricity</w:t>
      </w:r>
      <w:r w:rsidR="002B3E05" w:rsidRPr="002B3E05">
        <w:rPr>
          <w:rStyle w:val="QRCNormalBodyChar"/>
        </w:rPr>
        <w:t>)</w:t>
      </w:r>
      <w:r w:rsidRPr="00C5111C">
        <w:rPr>
          <w:rStyle w:val="QRCNormalBodyChar"/>
        </w:rPr>
        <w:t xml:space="preserve"> and at Windy Hill </w:t>
      </w:r>
      <w:r w:rsidR="002B3E05">
        <w:rPr>
          <w:rStyle w:val="QRCNormalBodyChar"/>
        </w:rPr>
        <w:t xml:space="preserve">(12 MW) </w:t>
      </w:r>
      <w:r w:rsidRPr="00C5111C">
        <w:rPr>
          <w:rStyle w:val="QRCNormalBodyChar"/>
        </w:rPr>
        <w:t>in far north Queensland. Additional sites in Queensland are being investigated for suitability as to their future use for wind farm electricity production.</w:t>
      </w:r>
      <w:r>
        <w:rPr>
          <w:rFonts w:ascii="Arial" w:hAnsi="Arial" w:cs="Arial"/>
          <w:color w:val="333333"/>
          <w:sz w:val="20"/>
          <w:szCs w:val="20"/>
        </w:rPr>
        <w:t xml:space="preserve"> </w:t>
      </w:r>
    </w:p>
    <w:p w:rsidR="00F570AF" w:rsidRDefault="00F570AF" w:rsidP="00F570AF">
      <w:pPr>
        <w:spacing w:line="260" w:lineRule="atLeast"/>
        <w:rPr>
          <w:rFonts w:ascii="Arial" w:hAnsi="Arial" w:cs="Arial"/>
          <w:sz w:val="20"/>
          <w:szCs w:val="20"/>
        </w:rPr>
      </w:pPr>
    </w:p>
    <w:p w:rsidR="00F570AF" w:rsidRPr="006B17CB" w:rsidRDefault="00F570AF" w:rsidP="006566EE">
      <w:pPr>
        <w:pStyle w:val="QRCBulletTitle"/>
        <w:spacing w:after="0"/>
      </w:pPr>
      <w:r w:rsidRPr="006B17CB">
        <w:t>Links</w:t>
      </w:r>
    </w:p>
    <w:p w:rsidR="00346EEC" w:rsidRPr="001E1FF7" w:rsidRDefault="00F9126F" w:rsidP="00C5111C">
      <w:pPr>
        <w:pStyle w:val="QRCNormalBody"/>
        <w:rPr>
          <w:color w:val="DD420C"/>
          <w:szCs w:val="20"/>
        </w:rPr>
      </w:pPr>
      <w:hyperlink r:id="rId13" w:history="1">
        <w:r w:rsidR="00F570AF" w:rsidRPr="001E1FF7">
          <w:rPr>
            <w:rStyle w:val="Hyperlink"/>
            <w:color w:val="DD420C"/>
            <w:szCs w:val="20"/>
          </w:rPr>
          <w:t>Energy in Queensland</w:t>
        </w:r>
      </w:hyperlink>
      <w:r w:rsidR="00F570AF" w:rsidRPr="001E1FF7">
        <w:rPr>
          <w:color w:val="DD420C"/>
        </w:rPr>
        <w:t>,</w:t>
      </w:r>
      <w:r w:rsidR="00F570AF" w:rsidRPr="001E1FF7">
        <w:rPr>
          <w:color w:val="DD420C"/>
          <w:szCs w:val="20"/>
        </w:rPr>
        <w:t xml:space="preserve"> </w:t>
      </w:r>
      <w:hyperlink r:id="rId14" w:history="1">
        <w:proofErr w:type="spellStart"/>
        <w:r w:rsidR="00F8383B">
          <w:rPr>
            <w:rStyle w:val="Hyperlink"/>
            <w:color w:val="DD420C"/>
            <w:szCs w:val="20"/>
          </w:rPr>
          <w:t>Ergon</w:t>
        </w:r>
        <w:proofErr w:type="spellEnd"/>
        <w:r w:rsidR="00F8383B">
          <w:rPr>
            <w:rStyle w:val="Hyperlink"/>
            <w:color w:val="DD420C"/>
            <w:szCs w:val="20"/>
          </w:rPr>
          <w:t xml:space="preserve"> Renewable </w:t>
        </w:r>
        <w:r w:rsidR="00346EEC" w:rsidRPr="001E1FF7">
          <w:rPr>
            <w:rStyle w:val="Hyperlink"/>
            <w:color w:val="DD420C"/>
            <w:szCs w:val="20"/>
          </w:rPr>
          <w:t>Energy</w:t>
        </w:r>
      </w:hyperlink>
      <w:r w:rsidR="00346EEC" w:rsidRPr="001E1FF7">
        <w:rPr>
          <w:color w:val="DD420C"/>
          <w:szCs w:val="20"/>
        </w:rPr>
        <w:t xml:space="preserve"> </w:t>
      </w:r>
    </w:p>
    <w:p w:rsidR="00305FF5" w:rsidRPr="001E1FF7" w:rsidRDefault="00F9126F" w:rsidP="00C5111C">
      <w:pPr>
        <w:pStyle w:val="QRCNormalBody"/>
      </w:pPr>
      <w:hyperlink r:id="rId15" w:history="1">
        <w:r w:rsidR="00324DA7" w:rsidRPr="009F7061">
          <w:rPr>
            <w:rStyle w:val="Hyperlink"/>
            <w:color w:val="808080" w:themeColor="background1" w:themeShade="80"/>
            <w:szCs w:val="20"/>
            <w:u w:val="none"/>
            <w:vertAlign w:val="superscript"/>
          </w:rPr>
          <w:t>1</w:t>
        </w:r>
      </w:hyperlink>
      <w:r w:rsidR="00201698" w:rsidRPr="001E1FF7">
        <w:t xml:space="preserve">All energy statistics have been sourced from the </w:t>
      </w:r>
      <w:r w:rsidR="002D5A88" w:rsidRPr="001E1FF7">
        <w:t>Queensland Renewable Energy Plan (DEEDI</w:t>
      </w:r>
      <w:r w:rsidR="00305FF5" w:rsidRPr="001E1FF7">
        <w:t xml:space="preserve"> June 2009</w:t>
      </w:r>
      <w:r w:rsidR="002D5A88" w:rsidRPr="001E1FF7">
        <w:t>)</w:t>
      </w:r>
      <w:r w:rsidR="001E1FF7">
        <w:t>.</w:t>
      </w:r>
      <w:r w:rsidR="00324DA7" w:rsidRPr="001E1FF7">
        <w:t xml:space="preserve"> </w:t>
      </w:r>
    </w:p>
    <w:p w:rsidR="003F659F" w:rsidRDefault="00324DA7" w:rsidP="00C5111C">
      <w:pPr>
        <w:pStyle w:val="QRCNormalBody"/>
        <w:rPr>
          <w:sz w:val="18"/>
          <w:szCs w:val="18"/>
        </w:rPr>
      </w:pPr>
      <w:r>
        <w:rPr>
          <w:sz w:val="18"/>
          <w:szCs w:val="18"/>
          <w:vertAlign w:val="superscript"/>
        </w:rPr>
        <w:t>2</w:t>
      </w:r>
      <w:r w:rsidR="003F659F">
        <w:rPr>
          <w:sz w:val="18"/>
          <w:szCs w:val="18"/>
          <w:vertAlign w:val="superscript"/>
        </w:rPr>
        <w:t>, 3</w:t>
      </w:r>
      <w:r w:rsidR="00C5111C" w:rsidRPr="00C5111C">
        <w:rPr>
          <w:sz w:val="18"/>
          <w:szCs w:val="18"/>
        </w:rPr>
        <w:t xml:space="preserve"> </w:t>
      </w:r>
      <w:r w:rsidR="00C5111C" w:rsidRPr="001E1FF7">
        <w:t xml:space="preserve">Owned and operated by </w:t>
      </w:r>
      <w:proofErr w:type="spellStart"/>
      <w:r w:rsidR="00C5111C" w:rsidRPr="001E1FF7">
        <w:t>Ergon</w:t>
      </w:r>
      <w:proofErr w:type="spellEnd"/>
      <w:r w:rsidR="00C5111C" w:rsidRPr="001E1FF7">
        <w:t xml:space="preserve"> Energy.</w:t>
      </w:r>
      <w:r w:rsidR="00C5111C" w:rsidRPr="00C5111C">
        <w:rPr>
          <w:sz w:val="18"/>
          <w:szCs w:val="18"/>
        </w:rPr>
        <w:t xml:space="preserve"> </w:t>
      </w:r>
    </w:p>
    <w:p w:rsidR="00C5111C" w:rsidRPr="00D464D5" w:rsidRDefault="00C5111C" w:rsidP="00C5111C">
      <w:pPr>
        <w:pStyle w:val="QRCNormalBody"/>
      </w:pPr>
      <w:r w:rsidRPr="00D464D5">
        <w:t>Queensland Resources Council acknowledges</w:t>
      </w:r>
      <w:r w:rsidR="003F659F">
        <w:t xml:space="preserve"> the Queensland</w:t>
      </w:r>
      <w:r w:rsidRPr="00D464D5">
        <w:t xml:space="preserve"> </w:t>
      </w:r>
      <w:r w:rsidR="00E74BE9">
        <w:t>Department of Employment, Economic Development and Innovation</w:t>
      </w:r>
      <w:r w:rsidR="00BA3092">
        <w:t>,</w:t>
      </w:r>
      <w:r>
        <w:t xml:space="preserve"> </w:t>
      </w:r>
      <w:proofErr w:type="spellStart"/>
      <w:r>
        <w:t>Ergon</w:t>
      </w:r>
      <w:proofErr w:type="spellEnd"/>
      <w:r>
        <w:t xml:space="preserve"> Energy</w:t>
      </w:r>
      <w:r w:rsidRPr="00D464D5">
        <w:t xml:space="preserve"> and Stanwell Corporation Limited as sources for this information. </w:t>
      </w:r>
    </w:p>
    <w:p w:rsidR="00C5111C" w:rsidRPr="00502251" w:rsidRDefault="001E1FF7" w:rsidP="009F7061">
      <w:pPr>
        <w:pStyle w:val="QRCBulletTitle"/>
        <w:jc w:val="right"/>
        <w:rPr>
          <w:color w:val="DD420C"/>
        </w:rPr>
        <w:sectPr w:rsidR="00C5111C" w:rsidRPr="00502251" w:rsidSect="00C5111C">
          <w:type w:val="continuous"/>
          <w:pgSz w:w="11906" w:h="16838"/>
          <w:pgMar w:top="1701" w:right="566" w:bottom="1440" w:left="567" w:header="708" w:footer="708" w:gutter="0"/>
          <w:cols w:num="2" w:space="708"/>
          <w:docGrid w:linePitch="360"/>
        </w:sectPr>
      </w:pPr>
      <w:r>
        <w:br/>
      </w:r>
      <w:r w:rsidR="00C5111C" w:rsidRPr="00502251">
        <w:rPr>
          <w:color w:val="DD420C"/>
        </w:rPr>
        <w:t xml:space="preserve">Last updated </w:t>
      </w:r>
      <w:r w:rsidR="00502251" w:rsidRPr="00502251">
        <w:rPr>
          <w:color w:val="DD420C"/>
        </w:rPr>
        <w:t>October</w:t>
      </w:r>
      <w:r w:rsidR="003F659F" w:rsidRPr="00502251">
        <w:rPr>
          <w:color w:val="DD420C"/>
        </w:rPr>
        <w:t xml:space="preserve"> </w:t>
      </w:r>
      <w:r w:rsidR="00C5111C" w:rsidRPr="00502251">
        <w:rPr>
          <w:color w:val="DD420C"/>
        </w:rPr>
        <w:t>201</w:t>
      </w:r>
      <w:r w:rsidR="00324DA7" w:rsidRPr="00502251">
        <w:rPr>
          <w:color w:val="DD420C"/>
        </w:rPr>
        <w:t>1</w:t>
      </w:r>
    </w:p>
    <w:p w:rsidR="00E62738" w:rsidRDefault="00E62738" w:rsidP="000D589E">
      <w:pPr>
        <w:pStyle w:val="QRCNormalBody"/>
      </w:pPr>
    </w:p>
    <w:sectPr w:rsidR="00E62738" w:rsidSect="00EA70C5">
      <w:type w:val="continuous"/>
      <w:pgSz w:w="11906" w:h="16838"/>
      <w:pgMar w:top="1701" w:right="566" w:bottom="1440" w:left="56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83B" w:rsidRDefault="00F8383B" w:rsidP="00C27A1F">
      <w:r>
        <w:separator/>
      </w:r>
    </w:p>
  </w:endnote>
  <w:endnote w:type="continuationSeparator" w:id="0">
    <w:p w:rsidR="00F8383B" w:rsidRDefault="00F8383B" w:rsidP="00C27A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83B" w:rsidRDefault="00F9126F">
    <w:pPr>
      <w:pStyle w:val="Footer"/>
    </w:pPr>
    <w:r w:rsidRPr="00F9126F">
      <w:rPr>
        <w:noProof/>
        <w:lang w:eastAsia="en-AU"/>
      </w:rPr>
      <w:pict>
        <v:shapetype id="_x0000_t202" coordsize="21600,21600" o:spt="202" path="m,l,21600r21600,l21600,xe">
          <v:stroke joinstyle="miter"/>
          <v:path gradientshapeok="t" o:connecttype="rect"/>
        </v:shapetype>
        <v:shape id="_x0000_s2049" type="#_x0000_t202" style="position:absolute;margin-left:-14.45pt;margin-top:4.45pt;width:565.1pt;height:35.8pt;z-index:251662336" filled="f" stroked="f">
          <v:textbox style="mso-next-textbox:#_x0000_s2049">
            <w:txbxContent>
              <w:p w:rsidR="00F8383B" w:rsidRPr="00916D0F" w:rsidRDefault="00F8383B" w:rsidP="00E71496">
                <w:pPr>
                  <w:jc w:val="center"/>
                  <w:rPr>
                    <w:b/>
                    <w:color w:val="CAC1B9"/>
                    <w:sz w:val="12"/>
                    <w:lang w:val="en-GB"/>
                  </w:rPr>
                </w:pPr>
                <w:proofErr w:type="spellStart"/>
                <w:r w:rsidRPr="00916D0F">
                  <w:rPr>
                    <w:b/>
                    <w:color w:val="CAC1B9"/>
                    <w:sz w:val="12"/>
                    <w:lang w:val="en-GB"/>
                  </w:rPr>
                  <w:t>OresomeResources</w:t>
                </w:r>
                <w:proofErr w:type="spellEnd"/>
                <w:r w:rsidRPr="00916D0F">
                  <w:rPr>
                    <w:b/>
                    <w:color w:val="CAC1B9"/>
                    <w:sz w:val="12"/>
                    <w:lang w:val="en-GB"/>
                  </w:rPr>
                  <w:t xml:space="preserve"> - Queensland Resources Council - Minerals and Energy Education</w:t>
                </w:r>
              </w:p>
              <w:p w:rsidR="00F8383B" w:rsidRPr="00916D0F" w:rsidRDefault="00F8383B" w:rsidP="00E71496">
                <w:pPr>
                  <w:jc w:val="center"/>
                  <w:rPr>
                    <w:b/>
                    <w:color w:val="CAC1B9"/>
                    <w:sz w:val="12"/>
                    <w:lang w:val="en-GB"/>
                  </w:rPr>
                </w:pPr>
                <w:r w:rsidRPr="00916D0F">
                  <w:rPr>
                    <w:color w:val="CAC1B9"/>
                    <w:sz w:val="12"/>
                    <w:lang w:val="en-GB"/>
                  </w:rPr>
                  <w:t>T</w:t>
                </w:r>
                <w:r w:rsidRPr="00916D0F">
                  <w:rPr>
                    <w:b/>
                    <w:color w:val="CAC1B9"/>
                    <w:sz w:val="12"/>
                    <w:lang w:val="en-GB"/>
                  </w:rPr>
                  <w:t xml:space="preserve"> (07) 3295 9560 </w:t>
                </w:r>
                <w:r w:rsidRPr="00916D0F">
                  <w:rPr>
                    <w:color w:val="CAC1B9"/>
                    <w:sz w:val="12"/>
                    <w:lang w:val="en-GB"/>
                  </w:rPr>
                  <w:t>F</w:t>
                </w:r>
                <w:r w:rsidRPr="00916D0F">
                  <w:rPr>
                    <w:b/>
                    <w:color w:val="CAC1B9"/>
                    <w:sz w:val="12"/>
                    <w:lang w:val="en-GB"/>
                  </w:rPr>
                  <w:t xml:space="preserve"> (07) 3295 9570</w:t>
                </w:r>
              </w:p>
              <w:p w:rsidR="00F8383B" w:rsidRPr="00916D0F" w:rsidRDefault="00F8383B" w:rsidP="00E71496">
                <w:pPr>
                  <w:jc w:val="center"/>
                  <w:rPr>
                    <w:color w:val="CAC1B9"/>
                    <w:sz w:val="12"/>
                    <w:lang w:val="en-GB"/>
                  </w:rPr>
                </w:pPr>
                <w:r w:rsidRPr="00916D0F">
                  <w:rPr>
                    <w:color w:val="CAC1B9"/>
                    <w:sz w:val="12"/>
                    <w:lang w:val="en-GB"/>
                  </w:rPr>
                  <w:t xml:space="preserve">Level 13 133 Mary St Brisbane, Queensland 4000 – </w:t>
                </w:r>
                <w:hyperlink r:id="rId1" w:history="1">
                  <w:r w:rsidRPr="00916D0F">
                    <w:rPr>
                      <w:rStyle w:val="Hyperlink"/>
                      <w:color w:val="CAC1B9"/>
                      <w:sz w:val="12"/>
                      <w:lang w:val="en-GB"/>
                    </w:rPr>
                    <w:t>www.oresomeresources.com</w:t>
                  </w:r>
                </w:hyperlink>
              </w:p>
              <w:p w:rsidR="00F8383B" w:rsidRPr="00916D0F" w:rsidRDefault="00F8383B" w:rsidP="00E71496">
                <w:pPr>
                  <w:jc w:val="center"/>
                  <w:rPr>
                    <w:b/>
                    <w:color w:val="CAC1B9"/>
                    <w:sz w:val="12"/>
                  </w:rPr>
                </w:pPr>
              </w:p>
            </w:txbxContent>
          </v:textbox>
        </v:shape>
      </w:pict>
    </w:r>
    <w:r w:rsidR="00F8383B" w:rsidRPr="00C27A1F">
      <w:rPr>
        <w:noProof/>
        <w:lang w:val="en-GB" w:eastAsia="en-GB"/>
      </w:rPr>
      <w:drawing>
        <wp:anchor distT="0" distB="0" distL="114300" distR="114300" simplePos="0" relativeHeight="251659264" behindDoc="1" locked="1" layoutInCell="1" allowOverlap="1">
          <wp:simplePos x="0" y="0"/>
          <wp:positionH relativeFrom="page">
            <wp:posOffset>0</wp:posOffset>
          </wp:positionH>
          <wp:positionV relativeFrom="page">
            <wp:posOffset>0</wp:posOffset>
          </wp:positionV>
          <wp:extent cx="7558405" cy="10690860"/>
          <wp:effectExtent l="19050" t="0" r="4445" b="0"/>
          <wp:wrapNone/>
          <wp:docPr id="6" name="Picture 0" descr="bg-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design.jpg"/>
                  <pic:cNvPicPr/>
                </pic:nvPicPr>
                <pic:blipFill>
                  <a:blip r:embed="rId2"/>
                  <a:stretch>
                    <a:fillRect/>
                  </a:stretch>
                </pic:blipFill>
                <pic:spPr>
                  <a:xfrm>
                    <a:off x="0" y="0"/>
                    <a:ext cx="7558405" cy="106908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83B" w:rsidRDefault="00F8383B" w:rsidP="00C27A1F">
      <w:r>
        <w:separator/>
      </w:r>
    </w:p>
  </w:footnote>
  <w:footnote w:type="continuationSeparator" w:id="0">
    <w:p w:rsidR="00F8383B" w:rsidRDefault="00F8383B" w:rsidP="00C27A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o:bullet="t">
        <v:imagedata r:id="rId1" o:title="bullet"/>
      </v:shape>
    </w:pict>
  </w:numPicBullet>
  <w:abstractNum w:abstractNumId="0">
    <w:nsid w:val="074D4D2B"/>
    <w:multiLevelType w:val="hybridMultilevel"/>
    <w:tmpl w:val="80FA7886"/>
    <w:lvl w:ilvl="0" w:tplc="4674593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75300F"/>
    <w:multiLevelType w:val="hybridMultilevel"/>
    <w:tmpl w:val="EF5AD548"/>
    <w:lvl w:ilvl="0" w:tplc="FDA07486">
      <w:start w:val="1"/>
      <w:numFmt w:val="bullet"/>
      <w:pStyle w:val="QRCBulletItem"/>
      <w:lvlText w:val=""/>
      <w:lvlPicBulletId w:val="0"/>
      <w:lvlJc w:val="left"/>
      <w:pPr>
        <w:ind w:left="1145" w:hanging="360"/>
      </w:pPr>
      <w:rPr>
        <w:rFonts w:ascii="Symbol" w:hAnsi="Symbol" w:hint="default"/>
        <w:color w:val="auto"/>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nsid w:val="37253EF1"/>
    <w:multiLevelType w:val="hybridMultilevel"/>
    <w:tmpl w:val="D788033A"/>
    <w:lvl w:ilvl="0" w:tplc="4674593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9D1A66"/>
    <w:rsid w:val="00065246"/>
    <w:rsid w:val="000C7222"/>
    <w:rsid w:val="000D589E"/>
    <w:rsid w:val="000D7546"/>
    <w:rsid w:val="00153429"/>
    <w:rsid w:val="00187635"/>
    <w:rsid w:val="001C2203"/>
    <w:rsid w:val="001E1FF7"/>
    <w:rsid w:val="001E677E"/>
    <w:rsid w:val="00201698"/>
    <w:rsid w:val="00225112"/>
    <w:rsid w:val="00291B8E"/>
    <w:rsid w:val="00293B8E"/>
    <w:rsid w:val="00296922"/>
    <w:rsid w:val="002B1D76"/>
    <w:rsid w:val="002B3E05"/>
    <w:rsid w:val="002C4479"/>
    <w:rsid w:val="002D5A88"/>
    <w:rsid w:val="002F3238"/>
    <w:rsid w:val="00305FF5"/>
    <w:rsid w:val="00312DFC"/>
    <w:rsid w:val="00324DA7"/>
    <w:rsid w:val="00326AA0"/>
    <w:rsid w:val="0033337D"/>
    <w:rsid w:val="00340838"/>
    <w:rsid w:val="00346EEC"/>
    <w:rsid w:val="003D58E1"/>
    <w:rsid w:val="003F659F"/>
    <w:rsid w:val="00453C4E"/>
    <w:rsid w:val="004802A5"/>
    <w:rsid w:val="00495F94"/>
    <w:rsid w:val="004A65B9"/>
    <w:rsid w:val="00502251"/>
    <w:rsid w:val="00504D01"/>
    <w:rsid w:val="005524F0"/>
    <w:rsid w:val="00582DB3"/>
    <w:rsid w:val="00593B89"/>
    <w:rsid w:val="005C7FCB"/>
    <w:rsid w:val="0062123F"/>
    <w:rsid w:val="006256F5"/>
    <w:rsid w:val="006566EE"/>
    <w:rsid w:val="006A7D1D"/>
    <w:rsid w:val="006D4F54"/>
    <w:rsid w:val="006F5777"/>
    <w:rsid w:val="006F7A9E"/>
    <w:rsid w:val="00722B02"/>
    <w:rsid w:val="007401D5"/>
    <w:rsid w:val="007669E7"/>
    <w:rsid w:val="00775C9A"/>
    <w:rsid w:val="0078266D"/>
    <w:rsid w:val="007C2F99"/>
    <w:rsid w:val="00861224"/>
    <w:rsid w:val="00916D0F"/>
    <w:rsid w:val="00955FE0"/>
    <w:rsid w:val="009A5577"/>
    <w:rsid w:val="009D1A66"/>
    <w:rsid w:val="009D28F3"/>
    <w:rsid w:val="009D30D5"/>
    <w:rsid w:val="009F7061"/>
    <w:rsid w:val="00A25F5C"/>
    <w:rsid w:val="00A30361"/>
    <w:rsid w:val="00A63D19"/>
    <w:rsid w:val="00A70215"/>
    <w:rsid w:val="00A7131A"/>
    <w:rsid w:val="00A804E1"/>
    <w:rsid w:val="00AB5EAE"/>
    <w:rsid w:val="00AE57A4"/>
    <w:rsid w:val="00AF08EB"/>
    <w:rsid w:val="00B412C1"/>
    <w:rsid w:val="00B51B28"/>
    <w:rsid w:val="00B74C83"/>
    <w:rsid w:val="00BA3092"/>
    <w:rsid w:val="00BB5183"/>
    <w:rsid w:val="00BE1F8A"/>
    <w:rsid w:val="00C215E5"/>
    <w:rsid w:val="00C27A1F"/>
    <w:rsid w:val="00C31561"/>
    <w:rsid w:val="00C5111C"/>
    <w:rsid w:val="00C56BB8"/>
    <w:rsid w:val="00C877E0"/>
    <w:rsid w:val="00C96907"/>
    <w:rsid w:val="00CE0B32"/>
    <w:rsid w:val="00CF5D75"/>
    <w:rsid w:val="00D47A77"/>
    <w:rsid w:val="00DC3E03"/>
    <w:rsid w:val="00DC59A7"/>
    <w:rsid w:val="00E5673B"/>
    <w:rsid w:val="00E62738"/>
    <w:rsid w:val="00E71496"/>
    <w:rsid w:val="00E7421E"/>
    <w:rsid w:val="00E74BE9"/>
    <w:rsid w:val="00E92A86"/>
    <w:rsid w:val="00EA0470"/>
    <w:rsid w:val="00EA70C5"/>
    <w:rsid w:val="00EC07BD"/>
    <w:rsid w:val="00F07729"/>
    <w:rsid w:val="00F570AF"/>
    <w:rsid w:val="00F8383B"/>
    <w:rsid w:val="00F912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1496"/>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A66"/>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9D1A66"/>
    <w:rPr>
      <w:rFonts w:ascii="Tahoma" w:hAnsi="Tahoma" w:cs="Tahoma"/>
      <w:sz w:val="16"/>
      <w:szCs w:val="16"/>
    </w:rPr>
  </w:style>
  <w:style w:type="paragraph" w:styleId="Header">
    <w:name w:val="header"/>
    <w:basedOn w:val="Normal"/>
    <w:link w:val="HeaderChar"/>
    <w:uiPriority w:val="99"/>
    <w:semiHidden/>
    <w:unhideWhenUsed/>
    <w:rsid w:val="00C27A1F"/>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semiHidden/>
    <w:rsid w:val="00C27A1F"/>
  </w:style>
  <w:style w:type="paragraph" w:styleId="Footer">
    <w:name w:val="footer"/>
    <w:basedOn w:val="Normal"/>
    <w:link w:val="FooterChar"/>
    <w:uiPriority w:val="99"/>
    <w:semiHidden/>
    <w:unhideWhenUsed/>
    <w:rsid w:val="00C27A1F"/>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semiHidden/>
    <w:rsid w:val="00C27A1F"/>
  </w:style>
  <w:style w:type="paragraph" w:styleId="ListParagraph">
    <w:name w:val="List Paragraph"/>
    <w:basedOn w:val="Normal"/>
    <w:link w:val="ListParagraphChar"/>
    <w:uiPriority w:val="34"/>
    <w:qFormat/>
    <w:rsid w:val="004802A5"/>
    <w:pPr>
      <w:spacing w:after="200" w:line="276" w:lineRule="auto"/>
      <w:ind w:left="720"/>
      <w:contextualSpacing/>
    </w:pPr>
    <w:rPr>
      <w:rFonts w:asciiTheme="minorHAnsi" w:hAnsiTheme="minorHAnsi" w:cstheme="minorBidi"/>
      <w:lang w:eastAsia="en-US"/>
    </w:rPr>
  </w:style>
  <w:style w:type="paragraph" w:customStyle="1" w:styleId="QRCHeading1">
    <w:name w:val="QRC Heading 1"/>
    <w:basedOn w:val="Normal"/>
    <w:link w:val="QRCHeading1Char"/>
    <w:rsid w:val="00916D0F"/>
    <w:pPr>
      <w:spacing w:after="200" w:line="276" w:lineRule="auto"/>
    </w:pPr>
    <w:rPr>
      <w:noProof/>
      <w:color w:val="DD420C"/>
      <w:spacing w:val="-20"/>
      <w:sz w:val="36"/>
    </w:rPr>
  </w:style>
  <w:style w:type="paragraph" w:customStyle="1" w:styleId="QRCHeading2">
    <w:name w:val="QRC Heading 2"/>
    <w:basedOn w:val="Normal"/>
    <w:link w:val="QRCHeading2Char"/>
    <w:qFormat/>
    <w:rsid w:val="00916D0F"/>
    <w:pPr>
      <w:tabs>
        <w:tab w:val="left" w:pos="6237"/>
      </w:tabs>
      <w:spacing w:after="200"/>
      <w:ind w:right="2552"/>
    </w:pPr>
    <w:rPr>
      <w:color w:val="808080" w:themeColor="background1" w:themeShade="80"/>
      <w:spacing w:val="-20"/>
      <w:sz w:val="28"/>
      <w:lang w:eastAsia="en-US"/>
    </w:rPr>
  </w:style>
  <w:style w:type="character" w:customStyle="1" w:styleId="QRCHeading1Char">
    <w:name w:val="QRC Heading 1 Char"/>
    <w:basedOn w:val="DefaultParagraphFont"/>
    <w:link w:val="QRCHeading1"/>
    <w:rsid w:val="00916D0F"/>
    <w:rPr>
      <w:rFonts w:ascii="Calibri" w:hAnsi="Calibri" w:cs="Calibri"/>
      <w:noProof/>
      <w:color w:val="DD420C"/>
      <w:spacing w:val="-20"/>
      <w:sz w:val="36"/>
      <w:lang w:eastAsia="en-AU"/>
    </w:rPr>
  </w:style>
  <w:style w:type="paragraph" w:customStyle="1" w:styleId="QRCHeading3">
    <w:name w:val="QRC Heading 3"/>
    <w:basedOn w:val="Normal"/>
    <w:link w:val="QRCHeading3Char"/>
    <w:qFormat/>
    <w:rsid w:val="00DC3E03"/>
    <w:pPr>
      <w:tabs>
        <w:tab w:val="left" w:pos="8505"/>
      </w:tabs>
      <w:spacing w:before="240" w:after="200"/>
    </w:pPr>
    <w:rPr>
      <w:color w:val="51C8E8"/>
      <w:spacing w:val="-20"/>
      <w:sz w:val="28"/>
      <w:lang w:eastAsia="en-US"/>
    </w:rPr>
  </w:style>
  <w:style w:type="character" w:customStyle="1" w:styleId="QRCHeading2Char">
    <w:name w:val="QRC Heading 2 Char"/>
    <w:basedOn w:val="DefaultParagraphFont"/>
    <w:link w:val="QRCHeading2"/>
    <w:rsid w:val="00916D0F"/>
    <w:rPr>
      <w:rFonts w:ascii="Calibri" w:hAnsi="Calibri" w:cs="Calibri"/>
      <w:color w:val="808080" w:themeColor="background1" w:themeShade="80"/>
      <w:spacing w:val="-20"/>
      <w:sz w:val="28"/>
    </w:rPr>
  </w:style>
  <w:style w:type="paragraph" w:customStyle="1" w:styleId="QRCNormalBody">
    <w:name w:val="QRC Normal Body"/>
    <w:basedOn w:val="Normal"/>
    <w:link w:val="QRCNormalBodyChar"/>
    <w:qFormat/>
    <w:rsid w:val="00DC3E03"/>
    <w:pPr>
      <w:tabs>
        <w:tab w:val="left" w:pos="8505"/>
      </w:tabs>
      <w:spacing w:after="200"/>
    </w:pPr>
    <w:rPr>
      <w:color w:val="808080" w:themeColor="background1" w:themeShade="80"/>
      <w:sz w:val="20"/>
      <w:lang w:eastAsia="en-US"/>
    </w:rPr>
  </w:style>
  <w:style w:type="character" w:customStyle="1" w:styleId="QRCHeading3Char">
    <w:name w:val="QRC Heading 3 Char"/>
    <w:basedOn w:val="DefaultParagraphFont"/>
    <w:link w:val="QRCHeading3"/>
    <w:rsid w:val="00DC3E03"/>
    <w:rPr>
      <w:rFonts w:ascii="Calibri" w:hAnsi="Calibri" w:cs="Calibri"/>
      <w:color w:val="51C8E8"/>
      <w:spacing w:val="-20"/>
      <w:sz w:val="28"/>
    </w:rPr>
  </w:style>
  <w:style w:type="paragraph" w:customStyle="1" w:styleId="QRCBulletTitle">
    <w:name w:val="QRC Bullet Title"/>
    <w:basedOn w:val="Normal"/>
    <w:link w:val="QRCBulletTitleChar"/>
    <w:qFormat/>
    <w:rsid w:val="00DC3E03"/>
    <w:pPr>
      <w:tabs>
        <w:tab w:val="left" w:pos="8505"/>
      </w:tabs>
      <w:spacing w:after="200"/>
    </w:pPr>
    <w:rPr>
      <w:b/>
      <w:color w:val="808080" w:themeColor="background1" w:themeShade="80"/>
      <w:sz w:val="20"/>
      <w:lang w:eastAsia="en-US"/>
    </w:rPr>
  </w:style>
  <w:style w:type="character" w:customStyle="1" w:styleId="QRCNormalBodyChar">
    <w:name w:val="QRC Normal Body Char"/>
    <w:basedOn w:val="DefaultParagraphFont"/>
    <w:link w:val="QRCNormalBody"/>
    <w:rsid w:val="00DC3E03"/>
    <w:rPr>
      <w:rFonts w:ascii="Calibri" w:hAnsi="Calibri" w:cs="Calibri"/>
      <w:color w:val="808080" w:themeColor="background1" w:themeShade="80"/>
      <w:sz w:val="20"/>
    </w:rPr>
  </w:style>
  <w:style w:type="paragraph" w:customStyle="1" w:styleId="QRCBulletItem">
    <w:name w:val="QRC Bullet Item"/>
    <w:basedOn w:val="ListParagraph"/>
    <w:link w:val="QRCBulletItemChar"/>
    <w:qFormat/>
    <w:rsid w:val="00DC3E03"/>
    <w:pPr>
      <w:numPr>
        <w:numId w:val="1"/>
      </w:numPr>
      <w:tabs>
        <w:tab w:val="left" w:pos="8505"/>
      </w:tabs>
      <w:spacing w:after="0" w:line="240" w:lineRule="auto"/>
      <w:ind w:left="641" w:hanging="357"/>
    </w:pPr>
    <w:rPr>
      <w:rFonts w:ascii="Calibri" w:hAnsi="Calibri" w:cs="Calibri"/>
      <w:color w:val="808080" w:themeColor="background1" w:themeShade="80"/>
      <w:sz w:val="20"/>
    </w:rPr>
  </w:style>
  <w:style w:type="character" w:customStyle="1" w:styleId="QRCBulletTitleChar">
    <w:name w:val="QRC Bullet Title Char"/>
    <w:basedOn w:val="DefaultParagraphFont"/>
    <w:link w:val="QRCBulletTitle"/>
    <w:rsid w:val="00DC3E03"/>
    <w:rPr>
      <w:rFonts w:ascii="Calibri" w:hAnsi="Calibri" w:cs="Calibri"/>
      <w:b/>
      <w:color w:val="808080" w:themeColor="background1" w:themeShade="80"/>
      <w:sz w:val="20"/>
    </w:rPr>
  </w:style>
  <w:style w:type="character" w:styleId="Hyperlink">
    <w:name w:val="Hyperlink"/>
    <w:basedOn w:val="DefaultParagraphFont"/>
    <w:uiPriority w:val="99"/>
    <w:unhideWhenUsed/>
    <w:rsid w:val="00E71496"/>
    <w:rPr>
      <w:color w:val="0000FF"/>
      <w:u w:val="single"/>
    </w:rPr>
  </w:style>
  <w:style w:type="character" w:customStyle="1" w:styleId="ListParagraphChar">
    <w:name w:val="List Paragraph Char"/>
    <w:basedOn w:val="DefaultParagraphFont"/>
    <w:link w:val="ListParagraph"/>
    <w:uiPriority w:val="34"/>
    <w:rsid w:val="00E5673B"/>
  </w:style>
  <w:style w:type="character" w:customStyle="1" w:styleId="QRCBulletItemChar">
    <w:name w:val="QRC Bullet Item Char"/>
    <w:basedOn w:val="ListParagraphChar"/>
    <w:link w:val="QRCBulletItem"/>
    <w:rsid w:val="00DC3E03"/>
    <w:rPr>
      <w:rFonts w:ascii="Calibri" w:hAnsi="Calibri" w:cs="Calibri"/>
      <w:color w:val="808080" w:themeColor="background1" w:themeShade="80"/>
      <w:sz w:val="20"/>
    </w:rPr>
  </w:style>
  <w:style w:type="paragraph" w:customStyle="1" w:styleId="QRCTopHeading">
    <w:name w:val="QRC Top Heading"/>
    <w:basedOn w:val="Normal"/>
    <w:link w:val="QRCTopHeadingChar"/>
    <w:qFormat/>
    <w:rsid w:val="002C4479"/>
    <w:rPr>
      <w:color w:val="404040" w:themeColor="text1" w:themeTint="BF"/>
      <w:spacing w:val="-20"/>
      <w:sz w:val="32"/>
    </w:rPr>
  </w:style>
  <w:style w:type="character" w:customStyle="1" w:styleId="QRCTopHeadingChar">
    <w:name w:val="QRC Top Heading Char"/>
    <w:basedOn w:val="DefaultParagraphFont"/>
    <w:link w:val="QRCTopHeading"/>
    <w:rsid w:val="002C4479"/>
    <w:rPr>
      <w:rFonts w:ascii="Calibri" w:hAnsi="Calibri" w:cs="Calibri"/>
      <w:color w:val="404040" w:themeColor="text1" w:themeTint="BF"/>
      <w:spacing w:val="-20"/>
      <w:sz w:val="32"/>
      <w:lang w:eastAsia="en-AU"/>
    </w:rPr>
  </w:style>
  <w:style w:type="character" w:styleId="FollowedHyperlink">
    <w:name w:val="FollowedHyperlink"/>
    <w:basedOn w:val="DefaultParagraphFont"/>
    <w:uiPriority w:val="99"/>
    <w:semiHidden/>
    <w:unhideWhenUsed/>
    <w:rsid w:val="00C877E0"/>
    <w:rPr>
      <w:color w:val="800080" w:themeColor="followedHyperlink"/>
      <w:u w:val="single"/>
    </w:rPr>
  </w:style>
  <w:style w:type="paragraph" w:styleId="NoSpacing">
    <w:name w:val="No Spacing"/>
    <w:uiPriority w:val="1"/>
    <w:qFormat/>
    <w:rsid w:val="00E62738"/>
    <w:pPr>
      <w:spacing w:after="0" w:line="240" w:lineRule="auto"/>
    </w:pPr>
    <w:rPr>
      <w:rFonts w:ascii="Calibri" w:eastAsia="Calibri" w:hAnsi="Calibri" w:cs="Times New Roman"/>
      <w:lang w:val="en-GB"/>
    </w:rPr>
  </w:style>
  <w:style w:type="character" w:styleId="Strong">
    <w:name w:val="Strong"/>
    <w:basedOn w:val="DefaultParagraphFont"/>
    <w:uiPriority w:val="22"/>
    <w:qFormat/>
    <w:rsid w:val="00E62738"/>
    <w:rPr>
      <w:b/>
      <w:bCs/>
    </w:rPr>
  </w:style>
  <w:style w:type="paragraph" w:styleId="NormalWeb">
    <w:name w:val="Normal (Web)"/>
    <w:basedOn w:val="Normal"/>
    <w:uiPriority w:val="99"/>
    <w:unhideWhenUsed/>
    <w:rsid w:val="00E62738"/>
    <w:pPr>
      <w:spacing w:before="100" w:beforeAutospacing="1" w:after="100" w:afterAutospacing="1"/>
    </w:pPr>
    <w:rPr>
      <w:rFonts w:ascii="Times New Roman" w:eastAsia="Times New Roman" w:hAnsi="Times New Roman" w:cs="Times New Roman"/>
      <w:sz w:val="24"/>
      <w:szCs w:val="24"/>
      <w:lang w:val="en-GB" w:eastAsia="zh-TW"/>
    </w:rPr>
  </w:style>
  <w:style w:type="character" w:styleId="CommentReference">
    <w:name w:val="annotation reference"/>
    <w:basedOn w:val="DefaultParagraphFont"/>
    <w:uiPriority w:val="99"/>
    <w:semiHidden/>
    <w:unhideWhenUsed/>
    <w:rsid w:val="00324DA7"/>
    <w:rPr>
      <w:sz w:val="16"/>
      <w:szCs w:val="16"/>
    </w:rPr>
  </w:style>
  <w:style w:type="paragraph" w:styleId="CommentText">
    <w:name w:val="annotation text"/>
    <w:basedOn w:val="Normal"/>
    <w:link w:val="CommentTextChar"/>
    <w:uiPriority w:val="99"/>
    <w:semiHidden/>
    <w:unhideWhenUsed/>
    <w:rsid w:val="00324DA7"/>
    <w:rPr>
      <w:sz w:val="20"/>
      <w:szCs w:val="20"/>
    </w:rPr>
  </w:style>
  <w:style w:type="character" w:customStyle="1" w:styleId="CommentTextChar">
    <w:name w:val="Comment Text Char"/>
    <w:basedOn w:val="DefaultParagraphFont"/>
    <w:link w:val="CommentText"/>
    <w:uiPriority w:val="99"/>
    <w:semiHidden/>
    <w:rsid w:val="00324DA7"/>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324DA7"/>
    <w:rPr>
      <w:b/>
      <w:bCs/>
    </w:rPr>
  </w:style>
  <w:style w:type="character" w:customStyle="1" w:styleId="CommentSubjectChar">
    <w:name w:val="Comment Subject Char"/>
    <w:basedOn w:val="CommentTextChar"/>
    <w:link w:val="CommentSubject"/>
    <w:uiPriority w:val="99"/>
    <w:semiHidden/>
    <w:rsid w:val="00324DA7"/>
    <w:rPr>
      <w:b/>
      <w:bCs/>
    </w:rPr>
  </w:style>
</w:styles>
</file>

<file path=word/webSettings.xml><?xml version="1.0" encoding="utf-8"?>
<w:webSettings xmlns:r="http://schemas.openxmlformats.org/officeDocument/2006/relationships" xmlns:w="http://schemas.openxmlformats.org/wordprocessingml/2006/main">
  <w:divs>
    <w:div w:id="1042022558">
      <w:bodyDiv w:val="1"/>
      <w:marLeft w:val="0"/>
      <w:marRight w:val="0"/>
      <w:marTop w:val="0"/>
      <w:marBottom w:val="0"/>
      <w:divBdr>
        <w:top w:val="none" w:sz="0" w:space="0" w:color="auto"/>
        <w:left w:val="none" w:sz="0" w:space="0" w:color="auto"/>
        <w:bottom w:val="none" w:sz="0" w:space="0" w:color="auto"/>
        <w:right w:val="none" w:sz="0" w:space="0" w:color="auto"/>
      </w:divBdr>
    </w:div>
    <w:div w:id="17319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cleanenergy.qld.gov.au/renewable_energy.cf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www.energyfutures.qld.gov.au/electricity_generation_in_queensland.cfm"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rgon.com.au/energy-conservation/what-are-we-doing/renewable-energy-sourc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oresomeresource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F85FD-0332-47AD-A6C7-D2F6F295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dc:creator>
  <cp:lastModifiedBy>ewilliamson</cp:lastModifiedBy>
  <cp:revision>5</cp:revision>
  <cp:lastPrinted>2011-10-24T02:53:00Z</cp:lastPrinted>
  <dcterms:created xsi:type="dcterms:W3CDTF">2011-05-05T06:07:00Z</dcterms:created>
  <dcterms:modified xsi:type="dcterms:W3CDTF">2011-10-24T02:54:00Z</dcterms:modified>
</cp:coreProperties>
</file>